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7E5E4" w14:textId="77777777" w:rsidR="003E3282" w:rsidRDefault="003E3282" w:rsidP="00037F06">
      <w:pPr>
        <w:pStyle w:val="Title"/>
        <w:rPr>
          <w:rFonts w:asciiTheme="minorHAnsi" w:hAnsiTheme="minorHAnsi"/>
          <w:b/>
          <w:sz w:val="40"/>
          <w:szCs w:val="40"/>
        </w:rPr>
      </w:pPr>
    </w:p>
    <w:p w14:paraId="0E0B130E" w14:textId="77777777" w:rsidR="000A1894" w:rsidRPr="001A67CB" w:rsidRDefault="000A1894" w:rsidP="000A1894">
      <w:pPr>
        <w:pStyle w:val="Title"/>
        <w:rPr>
          <w:rFonts w:asciiTheme="minorHAnsi" w:hAnsiTheme="minorHAnsi"/>
          <w:b/>
          <w:sz w:val="40"/>
          <w:szCs w:val="40"/>
        </w:rPr>
      </w:pPr>
      <w:r w:rsidRPr="001A67CB">
        <w:rPr>
          <w:rFonts w:asciiTheme="minorHAnsi" w:hAnsiTheme="minorHAnsi"/>
          <w:b/>
          <w:sz w:val="40"/>
          <w:szCs w:val="40"/>
        </w:rPr>
        <w:t xml:space="preserve">Sponsorship Procedure </w:t>
      </w:r>
    </w:p>
    <w:p w14:paraId="76714C0B" w14:textId="41B99A7A" w:rsidR="0021096E" w:rsidRDefault="00DE7271" w:rsidP="00201618">
      <w:pPr>
        <w:pStyle w:val="Heading2"/>
        <w:numPr>
          <w:ilvl w:val="0"/>
          <w:numId w:val="8"/>
        </w:numPr>
        <w:ind w:hanging="720"/>
      </w:pPr>
      <w:r w:rsidRPr="00774167">
        <w:t>Associated Policy</w:t>
      </w:r>
    </w:p>
    <w:p w14:paraId="01C2D5A7" w14:textId="5BF3F1CF" w:rsidR="00AB0EEC" w:rsidRPr="0021096E" w:rsidRDefault="00AB0EEC" w:rsidP="00E52BA5">
      <w:pPr>
        <w:pStyle w:val="PolicyHeading2-Accessible"/>
        <w:numPr>
          <w:ilvl w:val="0"/>
          <w:numId w:val="0"/>
        </w:numPr>
        <w:tabs>
          <w:tab w:val="num" w:pos="709"/>
        </w:tabs>
        <w:spacing w:after="120"/>
        <w:ind w:left="851" w:hanging="142"/>
        <w:rPr>
          <w:rFonts w:eastAsiaTheme="minorEastAsia" w:cstheme="minorBidi"/>
          <w:b w:val="0"/>
          <w:bCs w:val="0"/>
          <w:sz w:val="22"/>
        </w:rPr>
      </w:pPr>
      <w:r w:rsidRPr="5F5F58AF">
        <w:rPr>
          <w:rStyle w:val="Strong"/>
          <w:rFonts w:eastAsiaTheme="minorEastAsia"/>
          <w:sz w:val="22"/>
        </w:rPr>
        <w:t>Th</w:t>
      </w:r>
      <w:r w:rsidR="00413F9C" w:rsidRPr="5F5F58AF">
        <w:rPr>
          <w:rStyle w:val="Strong"/>
          <w:rFonts w:eastAsiaTheme="minorEastAsia"/>
          <w:sz w:val="22"/>
        </w:rPr>
        <w:t>is</w:t>
      </w:r>
      <w:r w:rsidRPr="5F5F58AF">
        <w:rPr>
          <w:rStyle w:val="Strong"/>
          <w:rFonts w:eastAsiaTheme="minorEastAsia"/>
          <w:sz w:val="22"/>
        </w:rPr>
        <w:t xml:space="preserve"> Sponsorship Procedure </w:t>
      </w:r>
      <w:r w:rsidR="0021096E" w:rsidRPr="5F5F58AF">
        <w:rPr>
          <w:rStyle w:val="Strong"/>
          <w:rFonts w:eastAsiaTheme="minorEastAsia"/>
          <w:sz w:val="22"/>
        </w:rPr>
        <w:t>must be read</w:t>
      </w:r>
      <w:r w:rsidRPr="5F5F58AF">
        <w:rPr>
          <w:rStyle w:val="Strong"/>
          <w:rFonts w:eastAsiaTheme="minorEastAsia"/>
          <w:sz w:val="22"/>
        </w:rPr>
        <w:t xml:space="preserve"> in conjunction with the Sponsorship Policy</w:t>
      </w:r>
      <w:r w:rsidRPr="5F5F58AF">
        <w:rPr>
          <w:rFonts w:eastAsiaTheme="minorEastAsia" w:cstheme="minorBidi"/>
          <w:b w:val="0"/>
          <w:bCs w:val="0"/>
          <w:sz w:val="22"/>
        </w:rPr>
        <w:t>.</w:t>
      </w:r>
    </w:p>
    <w:p w14:paraId="2A8B2243" w14:textId="77777777" w:rsidR="00A7573C" w:rsidRDefault="00A7573C" w:rsidP="00201618">
      <w:pPr>
        <w:pStyle w:val="Heading2"/>
        <w:numPr>
          <w:ilvl w:val="0"/>
          <w:numId w:val="8"/>
        </w:numPr>
        <w:ind w:hanging="720"/>
      </w:pPr>
      <w:bookmarkStart w:id="0" w:name="_Toc419889959"/>
      <w:r>
        <w:t>Overview</w:t>
      </w:r>
      <w:bookmarkEnd w:id="0"/>
    </w:p>
    <w:p w14:paraId="36AE3FD5" w14:textId="7329578B" w:rsidR="00A7573C" w:rsidRPr="007B0AF3" w:rsidRDefault="00A7573C" w:rsidP="00201618">
      <w:pPr>
        <w:pStyle w:val="Policy-BodyText"/>
        <w:numPr>
          <w:ilvl w:val="1"/>
          <w:numId w:val="8"/>
        </w:numPr>
        <w:spacing w:before="120" w:after="120"/>
        <w:ind w:left="709" w:hanging="709"/>
        <w:contextualSpacing w:val="0"/>
        <w:rPr>
          <w:sz w:val="22"/>
          <w:szCs w:val="22"/>
        </w:rPr>
      </w:pPr>
      <w:r w:rsidRPr="5F5F58AF">
        <w:rPr>
          <w:sz w:val="22"/>
          <w:szCs w:val="22"/>
        </w:rPr>
        <w:t xml:space="preserve">These procedures describe the requirements for </w:t>
      </w:r>
      <w:r w:rsidR="1B3F2EB0" w:rsidRPr="5F5F58AF">
        <w:rPr>
          <w:sz w:val="22"/>
          <w:szCs w:val="22"/>
        </w:rPr>
        <w:t>entering</w:t>
      </w:r>
      <w:r w:rsidRPr="5F5F58AF">
        <w:rPr>
          <w:sz w:val="22"/>
          <w:szCs w:val="22"/>
        </w:rPr>
        <w:t xml:space="preserve"> a sponsorship arrangement.</w:t>
      </w:r>
    </w:p>
    <w:p w14:paraId="55D3908A" w14:textId="683C22BB" w:rsidR="00A7573C" w:rsidRDefault="00A7573C" w:rsidP="00201618">
      <w:pPr>
        <w:pStyle w:val="Policy-BodyText"/>
        <w:numPr>
          <w:ilvl w:val="1"/>
          <w:numId w:val="8"/>
        </w:numPr>
        <w:spacing w:before="120" w:after="120"/>
        <w:ind w:left="709" w:hanging="709"/>
        <w:contextualSpacing w:val="0"/>
        <w:rPr>
          <w:sz w:val="22"/>
          <w:szCs w:val="22"/>
        </w:rPr>
      </w:pPr>
      <w:r w:rsidRPr="5F5F58AF">
        <w:rPr>
          <w:sz w:val="22"/>
          <w:szCs w:val="22"/>
        </w:rPr>
        <w:t xml:space="preserve">The procedures aim to ensure sponsorship arrangements are consistent with the values, corporate purpose and goals of </w:t>
      </w:r>
      <w:r w:rsidR="000B0D6F" w:rsidRPr="5F5F58AF">
        <w:rPr>
          <w:sz w:val="22"/>
          <w:szCs w:val="22"/>
        </w:rPr>
        <w:t xml:space="preserve">the </w:t>
      </w:r>
      <w:r w:rsidRPr="5F5F58AF">
        <w:rPr>
          <w:sz w:val="22"/>
          <w:szCs w:val="22"/>
        </w:rPr>
        <w:t>C</w:t>
      </w:r>
      <w:r w:rsidR="000B0D6F" w:rsidRPr="5F5F58AF">
        <w:rPr>
          <w:sz w:val="22"/>
          <w:szCs w:val="22"/>
        </w:rPr>
        <w:t xml:space="preserve">anberra </w:t>
      </w:r>
      <w:r w:rsidRPr="5F5F58AF">
        <w:rPr>
          <w:sz w:val="22"/>
          <w:szCs w:val="22"/>
        </w:rPr>
        <w:t>I</w:t>
      </w:r>
      <w:r w:rsidR="000B0D6F" w:rsidRPr="5F5F58AF">
        <w:rPr>
          <w:sz w:val="22"/>
          <w:szCs w:val="22"/>
        </w:rPr>
        <w:t xml:space="preserve">nstitute of </w:t>
      </w:r>
      <w:r w:rsidRPr="5F5F58AF">
        <w:rPr>
          <w:sz w:val="22"/>
          <w:szCs w:val="22"/>
        </w:rPr>
        <w:t>T</w:t>
      </w:r>
      <w:r w:rsidR="000B0D6F" w:rsidRPr="5F5F58AF">
        <w:rPr>
          <w:sz w:val="22"/>
          <w:szCs w:val="22"/>
        </w:rPr>
        <w:t>echnology</w:t>
      </w:r>
      <w:r w:rsidRPr="5F5F58AF">
        <w:rPr>
          <w:sz w:val="22"/>
          <w:szCs w:val="22"/>
        </w:rPr>
        <w:t xml:space="preserve"> </w:t>
      </w:r>
      <w:r w:rsidR="000B0D6F" w:rsidRPr="5F5F58AF">
        <w:rPr>
          <w:sz w:val="22"/>
          <w:szCs w:val="22"/>
        </w:rPr>
        <w:t xml:space="preserve">(CIT) </w:t>
      </w:r>
      <w:r w:rsidRPr="5F5F58AF">
        <w:rPr>
          <w:sz w:val="22"/>
          <w:szCs w:val="22"/>
        </w:rPr>
        <w:t>and ACT Government.</w:t>
      </w:r>
    </w:p>
    <w:p w14:paraId="305CE6E2" w14:textId="77777777" w:rsidR="00A7573C" w:rsidRDefault="00A7573C" w:rsidP="00201618">
      <w:pPr>
        <w:pStyle w:val="Heading2"/>
        <w:numPr>
          <w:ilvl w:val="0"/>
          <w:numId w:val="8"/>
        </w:numPr>
        <w:ind w:hanging="720"/>
      </w:pPr>
      <w:bookmarkStart w:id="1" w:name="_Toc419889961"/>
      <w:r>
        <w:t>Procedures</w:t>
      </w:r>
      <w:bookmarkEnd w:id="1"/>
    </w:p>
    <w:p w14:paraId="010CDA3E" w14:textId="77777777" w:rsidR="00B04E61" w:rsidRPr="00226D15" w:rsidRDefault="00B04E61" w:rsidP="00B04E61">
      <w:pPr>
        <w:pStyle w:val="ListParagraph"/>
        <w:numPr>
          <w:ilvl w:val="1"/>
          <w:numId w:val="12"/>
        </w:numPr>
        <w:tabs>
          <w:tab w:val="left" w:pos="851"/>
        </w:tabs>
        <w:overflowPunct w:val="0"/>
        <w:autoSpaceDE w:val="0"/>
        <w:autoSpaceDN w:val="0"/>
        <w:adjustRightInd w:val="0"/>
        <w:spacing w:before="120" w:after="120"/>
        <w:ind w:left="851" w:hanging="851"/>
        <w:contextualSpacing w:val="0"/>
      </w:pPr>
      <w:r w:rsidRPr="00226D15">
        <w:t xml:space="preserve">Sponsorship may be in the form of in-kind or financial support, or a combination of both. </w:t>
      </w:r>
    </w:p>
    <w:p w14:paraId="01CF68EB" w14:textId="6A20130C" w:rsidR="008C4738" w:rsidRPr="00B04E61" w:rsidRDefault="00A152A8" w:rsidP="00F75463">
      <w:pPr>
        <w:pStyle w:val="ListParagraph"/>
        <w:numPr>
          <w:ilvl w:val="2"/>
          <w:numId w:val="12"/>
        </w:numPr>
        <w:tabs>
          <w:tab w:val="left" w:pos="851"/>
        </w:tabs>
        <w:overflowPunct w:val="0"/>
        <w:autoSpaceDE w:val="0"/>
        <w:autoSpaceDN w:val="0"/>
        <w:adjustRightInd w:val="0"/>
        <w:spacing w:before="120" w:after="120"/>
        <w:contextualSpacing w:val="0"/>
      </w:pPr>
      <w:r>
        <w:t xml:space="preserve"> </w:t>
      </w:r>
      <w:r w:rsidR="00F75463">
        <w:t xml:space="preserve"> </w:t>
      </w:r>
      <w:r w:rsidR="00551708" w:rsidRPr="5F5F58AF">
        <w:t xml:space="preserve">In-kind support may take the form of: </w:t>
      </w:r>
    </w:p>
    <w:p w14:paraId="3046ABFD" w14:textId="77777777" w:rsidR="00DE1CB0" w:rsidRPr="00F33379" w:rsidRDefault="00DE1CB0" w:rsidP="00DE1CB0">
      <w:pPr>
        <w:pStyle w:val="ListParagraph"/>
        <w:numPr>
          <w:ilvl w:val="0"/>
          <w:numId w:val="11"/>
        </w:numPr>
        <w:tabs>
          <w:tab w:val="left" w:pos="1418"/>
        </w:tabs>
        <w:overflowPunct w:val="0"/>
        <w:autoSpaceDE w:val="0"/>
        <w:autoSpaceDN w:val="0"/>
        <w:adjustRightInd w:val="0"/>
        <w:spacing w:before="120" w:after="120"/>
        <w:ind w:left="1418" w:hanging="567"/>
        <w:contextualSpacing w:val="0"/>
      </w:pPr>
      <w:r w:rsidRPr="00F33379">
        <w:t>promotional support, such as internal promotion of an event, use of promotional tools such as Newsletters, webpages or email;</w:t>
      </w:r>
    </w:p>
    <w:p w14:paraId="2240C53B" w14:textId="77777777" w:rsidR="00DE1CB0" w:rsidRPr="00F33379" w:rsidRDefault="00DE1CB0" w:rsidP="00DE1CB0">
      <w:pPr>
        <w:pStyle w:val="ListParagraph"/>
        <w:numPr>
          <w:ilvl w:val="0"/>
          <w:numId w:val="11"/>
        </w:numPr>
        <w:tabs>
          <w:tab w:val="left" w:pos="1418"/>
        </w:tabs>
        <w:overflowPunct w:val="0"/>
        <w:autoSpaceDE w:val="0"/>
        <w:autoSpaceDN w:val="0"/>
        <w:adjustRightInd w:val="0"/>
        <w:spacing w:before="120" w:after="120"/>
        <w:ind w:left="1418" w:hanging="567"/>
        <w:contextualSpacing w:val="0"/>
      </w:pPr>
      <w:r w:rsidRPr="00F33379">
        <w:t>use of facilities (buildings, grounds, equipment);</w:t>
      </w:r>
    </w:p>
    <w:p w14:paraId="29DB2461" w14:textId="77777777" w:rsidR="00DE1CB0" w:rsidRPr="00F33379" w:rsidRDefault="00DE1CB0" w:rsidP="00DE1CB0">
      <w:pPr>
        <w:pStyle w:val="ListParagraph"/>
        <w:numPr>
          <w:ilvl w:val="0"/>
          <w:numId w:val="11"/>
        </w:numPr>
        <w:tabs>
          <w:tab w:val="left" w:pos="1418"/>
        </w:tabs>
        <w:overflowPunct w:val="0"/>
        <w:autoSpaceDE w:val="0"/>
        <w:autoSpaceDN w:val="0"/>
        <w:adjustRightInd w:val="0"/>
        <w:spacing w:before="120" w:after="120"/>
        <w:ind w:left="1418" w:hanging="567"/>
        <w:contextualSpacing w:val="0"/>
      </w:pPr>
      <w:r w:rsidRPr="00F33379">
        <w:t xml:space="preserve">intellectual expertise (staff and student); or </w:t>
      </w:r>
    </w:p>
    <w:p w14:paraId="570F5CB4" w14:textId="77777777" w:rsidR="00DE1CB0" w:rsidRPr="00F33379" w:rsidRDefault="00DE1CB0" w:rsidP="00DE1CB0">
      <w:pPr>
        <w:pStyle w:val="ListParagraph"/>
        <w:numPr>
          <w:ilvl w:val="0"/>
          <w:numId w:val="11"/>
        </w:numPr>
        <w:tabs>
          <w:tab w:val="left" w:pos="1418"/>
        </w:tabs>
        <w:overflowPunct w:val="0"/>
        <w:autoSpaceDE w:val="0"/>
        <w:autoSpaceDN w:val="0"/>
        <w:adjustRightInd w:val="0"/>
        <w:spacing w:before="120" w:after="120"/>
        <w:ind w:left="1418" w:hanging="567"/>
        <w:contextualSpacing w:val="0"/>
      </w:pPr>
      <w:r w:rsidRPr="00F33379">
        <w:t xml:space="preserve">supply of branded merchandise. </w:t>
      </w:r>
    </w:p>
    <w:p w14:paraId="56D2C2FD" w14:textId="746694CA" w:rsidR="00551708" w:rsidRDefault="00551708" w:rsidP="00F75463">
      <w:pPr>
        <w:pStyle w:val="ListParagraph"/>
        <w:numPr>
          <w:ilvl w:val="2"/>
          <w:numId w:val="12"/>
        </w:numPr>
        <w:tabs>
          <w:tab w:val="left" w:pos="851"/>
        </w:tabs>
        <w:overflowPunct w:val="0"/>
        <w:autoSpaceDE w:val="0"/>
        <w:autoSpaceDN w:val="0"/>
        <w:adjustRightInd w:val="0"/>
        <w:spacing w:before="120" w:after="120"/>
        <w:ind w:left="851" w:hanging="851"/>
        <w:contextualSpacing w:val="0"/>
      </w:pPr>
      <w:r w:rsidRPr="5F5F58AF">
        <w:t xml:space="preserve">Financial support will take the form of a monetary amount for which </w:t>
      </w:r>
      <w:r w:rsidR="00F94656" w:rsidRPr="5F5F58AF">
        <w:t xml:space="preserve">CIT or the </w:t>
      </w:r>
      <w:r w:rsidR="00E20B98" w:rsidRPr="5F5F58AF">
        <w:t>Organisation</w:t>
      </w:r>
      <w:r w:rsidRPr="5F5F58AF">
        <w:t xml:space="preserve"> is invoiced.</w:t>
      </w:r>
    </w:p>
    <w:p w14:paraId="59E33D16" w14:textId="77777777" w:rsidR="008D3D2D" w:rsidRDefault="008D3D2D" w:rsidP="00A152A8">
      <w:pPr>
        <w:pStyle w:val="ListParagraph"/>
        <w:numPr>
          <w:ilvl w:val="1"/>
          <w:numId w:val="12"/>
        </w:numPr>
        <w:tabs>
          <w:tab w:val="left" w:pos="851"/>
        </w:tabs>
        <w:overflowPunct w:val="0"/>
        <w:autoSpaceDE w:val="0"/>
        <w:autoSpaceDN w:val="0"/>
        <w:adjustRightInd w:val="0"/>
        <w:spacing w:before="120" w:after="120"/>
        <w:ind w:left="851" w:hanging="851"/>
        <w:contextualSpacing w:val="0"/>
      </w:pPr>
      <w:r w:rsidRPr="5F5F58AF">
        <w:t xml:space="preserve">Sponsorships should possess the following common core criteria: </w:t>
      </w:r>
    </w:p>
    <w:p w14:paraId="67079037" w14:textId="43EEC6EB" w:rsidR="008D3D2D" w:rsidRDefault="00B02F2D" w:rsidP="00A152A8">
      <w:pPr>
        <w:pStyle w:val="ListParagraph"/>
        <w:numPr>
          <w:ilvl w:val="0"/>
          <w:numId w:val="11"/>
        </w:numPr>
        <w:tabs>
          <w:tab w:val="left" w:pos="1418"/>
        </w:tabs>
        <w:overflowPunct w:val="0"/>
        <w:autoSpaceDE w:val="0"/>
        <w:autoSpaceDN w:val="0"/>
        <w:adjustRightInd w:val="0"/>
        <w:spacing w:before="120" w:after="120"/>
        <w:ind w:left="1418" w:hanging="567"/>
        <w:contextualSpacing w:val="0"/>
      </w:pPr>
      <w:r w:rsidRPr="5F5F58AF">
        <w:t>be</w:t>
      </w:r>
      <w:r w:rsidR="008D3D2D" w:rsidRPr="5F5F58AF">
        <w:t xml:space="preserve"> consistent with CIT</w:t>
      </w:r>
      <w:r w:rsidR="00487E89">
        <w:t>’</w:t>
      </w:r>
      <w:r w:rsidR="008D3D2D" w:rsidRPr="5F5F58AF">
        <w:t>s brand attributes, strategic direction and core values;</w:t>
      </w:r>
    </w:p>
    <w:p w14:paraId="2486A27E" w14:textId="7D3B6BBF" w:rsidR="008D3D2D" w:rsidRDefault="008D3D2D" w:rsidP="00A152A8">
      <w:pPr>
        <w:pStyle w:val="ListParagraph"/>
        <w:numPr>
          <w:ilvl w:val="0"/>
          <w:numId w:val="11"/>
        </w:numPr>
        <w:tabs>
          <w:tab w:val="left" w:pos="1418"/>
        </w:tabs>
        <w:overflowPunct w:val="0"/>
        <w:autoSpaceDE w:val="0"/>
        <w:autoSpaceDN w:val="0"/>
        <w:adjustRightInd w:val="0"/>
        <w:spacing w:before="120" w:after="120"/>
        <w:ind w:left="1418" w:hanging="567"/>
        <w:contextualSpacing w:val="0"/>
      </w:pPr>
      <w:r w:rsidRPr="5F5F58AF">
        <w:t>provide mutually beneficial outcomes;</w:t>
      </w:r>
    </w:p>
    <w:p w14:paraId="39C43A7A" w14:textId="2E8AACB5" w:rsidR="008D3D2D" w:rsidRDefault="008D3D2D" w:rsidP="00A152A8">
      <w:pPr>
        <w:pStyle w:val="ListParagraph"/>
        <w:numPr>
          <w:ilvl w:val="0"/>
          <w:numId w:val="11"/>
        </w:numPr>
        <w:tabs>
          <w:tab w:val="left" w:pos="1418"/>
        </w:tabs>
        <w:overflowPunct w:val="0"/>
        <w:autoSpaceDE w:val="0"/>
        <w:autoSpaceDN w:val="0"/>
        <w:adjustRightInd w:val="0"/>
        <w:spacing w:before="120" w:after="120"/>
        <w:ind w:left="1418" w:hanging="567"/>
        <w:contextualSpacing w:val="0"/>
      </w:pPr>
      <w:r w:rsidRPr="5F5F58AF">
        <w:t>enhance CIT’s reputation;</w:t>
      </w:r>
    </w:p>
    <w:p w14:paraId="02286DEC" w14:textId="2365C8F8" w:rsidR="008D3D2D" w:rsidRDefault="008D3D2D" w:rsidP="00A152A8">
      <w:pPr>
        <w:pStyle w:val="ListParagraph"/>
        <w:numPr>
          <w:ilvl w:val="0"/>
          <w:numId w:val="11"/>
        </w:numPr>
        <w:tabs>
          <w:tab w:val="left" w:pos="1418"/>
        </w:tabs>
        <w:overflowPunct w:val="0"/>
        <w:autoSpaceDE w:val="0"/>
        <w:autoSpaceDN w:val="0"/>
        <w:adjustRightInd w:val="0"/>
        <w:spacing w:before="120" w:after="120"/>
        <w:ind w:left="1418" w:hanging="567"/>
        <w:contextualSpacing w:val="0"/>
      </w:pPr>
      <w:r w:rsidRPr="5F5F58AF">
        <w:t>provide promotional opportunities for CIT (internally and/or externally);</w:t>
      </w:r>
    </w:p>
    <w:p w14:paraId="39C43515" w14:textId="0B243DC4" w:rsidR="008D3D2D" w:rsidRDefault="008D3D2D" w:rsidP="00A152A8">
      <w:pPr>
        <w:pStyle w:val="ListParagraph"/>
        <w:numPr>
          <w:ilvl w:val="0"/>
          <w:numId w:val="11"/>
        </w:numPr>
        <w:tabs>
          <w:tab w:val="left" w:pos="1418"/>
        </w:tabs>
        <w:overflowPunct w:val="0"/>
        <w:autoSpaceDE w:val="0"/>
        <w:autoSpaceDN w:val="0"/>
        <w:adjustRightInd w:val="0"/>
        <w:spacing w:before="120" w:after="120"/>
        <w:ind w:left="1418" w:hanging="567"/>
        <w:contextualSpacing w:val="0"/>
      </w:pPr>
      <w:r w:rsidRPr="5F5F58AF">
        <w:t xml:space="preserve">strengthen and support brand awareness; and </w:t>
      </w:r>
    </w:p>
    <w:p w14:paraId="7107989F" w14:textId="64FD81B7" w:rsidR="008D3D2D" w:rsidRDefault="008D3D2D" w:rsidP="00A152A8">
      <w:pPr>
        <w:pStyle w:val="ListParagraph"/>
        <w:numPr>
          <w:ilvl w:val="0"/>
          <w:numId w:val="11"/>
        </w:numPr>
        <w:tabs>
          <w:tab w:val="left" w:pos="1418"/>
        </w:tabs>
        <w:overflowPunct w:val="0"/>
        <w:autoSpaceDE w:val="0"/>
        <w:autoSpaceDN w:val="0"/>
        <w:adjustRightInd w:val="0"/>
        <w:spacing w:before="120" w:after="120"/>
        <w:ind w:left="1418" w:hanging="567"/>
        <w:contextualSpacing w:val="0"/>
      </w:pPr>
      <w:r w:rsidRPr="5F5F58AF">
        <w:t>contribute towards enhancing the student experience.</w:t>
      </w:r>
    </w:p>
    <w:p w14:paraId="383B5E04" w14:textId="346ADAAA" w:rsidR="00D8498A" w:rsidRPr="00D8498A" w:rsidRDefault="00D8498A" w:rsidP="00F75463">
      <w:pPr>
        <w:pStyle w:val="ListParagraph"/>
        <w:numPr>
          <w:ilvl w:val="1"/>
          <w:numId w:val="12"/>
        </w:numPr>
        <w:tabs>
          <w:tab w:val="left" w:pos="851"/>
        </w:tabs>
        <w:overflowPunct w:val="0"/>
        <w:autoSpaceDE w:val="0"/>
        <w:autoSpaceDN w:val="0"/>
        <w:adjustRightInd w:val="0"/>
        <w:spacing w:before="120" w:after="120"/>
        <w:ind w:left="851" w:hanging="851"/>
        <w:contextualSpacing w:val="0"/>
      </w:pPr>
      <w:r w:rsidRPr="5F5F58AF">
        <w:t>Outgoing Sponsorship</w:t>
      </w:r>
      <w:r w:rsidRPr="00F75463">
        <w:t xml:space="preserve"> </w:t>
      </w:r>
      <w:r w:rsidRPr="5F5F58AF">
        <w:t>(provided)</w:t>
      </w:r>
      <w:r w:rsidRPr="00F75463">
        <w:t xml:space="preserve"> </w:t>
      </w:r>
      <w:r w:rsidRPr="5F5F58AF">
        <w:t>by CIT in support of activities undertaken by an external organisation. For example, CIT may consider providing a sponsorship contribution to assist an organisation with the delivery of:</w:t>
      </w:r>
    </w:p>
    <w:p w14:paraId="58928BCE" w14:textId="77777777" w:rsidR="00D8498A" w:rsidRPr="00F75463" w:rsidRDefault="00D8498A" w:rsidP="00F75463">
      <w:pPr>
        <w:pStyle w:val="ListParagraph"/>
        <w:numPr>
          <w:ilvl w:val="0"/>
          <w:numId w:val="11"/>
        </w:numPr>
        <w:tabs>
          <w:tab w:val="left" w:pos="1418"/>
        </w:tabs>
        <w:overflowPunct w:val="0"/>
        <w:autoSpaceDE w:val="0"/>
        <w:autoSpaceDN w:val="0"/>
        <w:adjustRightInd w:val="0"/>
        <w:spacing w:before="120" w:after="120"/>
        <w:ind w:left="1418" w:hanging="567"/>
        <w:contextualSpacing w:val="0"/>
      </w:pPr>
      <w:r w:rsidRPr="00F75463">
        <w:t>an award program and ceremony;</w:t>
      </w:r>
    </w:p>
    <w:p w14:paraId="090A3B33" w14:textId="77777777" w:rsidR="00D8498A" w:rsidRPr="00F75463" w:rsidRDefault="00D8498A" w:rsidP="00F75463">
      <w:pPr>
        <w:pStyle w:val="ListParagraph"/>
        <w:numPr>
          <w:ilvl w:val="0"/>
          <w:numId w:val="11"/>
        </w:numPr>
        <w:tabs>
          <w:tab w:val="left" w:pos="1418"/>
        </w:tabs>
        <w:overflowPunct w:val="0"/>
        <w:autoSpaceDE w:val="0"/>
        <w:autoSpaceDN w:val="0"/>
        <w:adjustRightInd w:val="0"/>
        <w:spacing w:before="120" w:after="120"/>
        <w:ind w:left="1418" w:hanging="567"/>
        <w:contextualSpacing w:val="0"/>
      </w:pPr>
      <w:r w:rsidRPr="00F75463">
        <w:t>a trade show, business event development and marketing;</w:t>
      </w:r>
    </w:p>
    <w:p w14:paraId="688DD370" w14:textId="77777777" w:rsidR="00D8498A" w:rsidRPr="00F75463" w:rsidRDefault="00D8498A" w:rsidP="00F75463">
      <w:pPr>
        <w:pStyle w:val="ListParagraph"/>
        <w:numPr>
          <w:ilvl w:val="0"/>
          <w:numId w:val="11"/>
        </w:numPr>
        <w:tabs>
          <w:tab w:val="left" w:pos="1418"/>
        </w:tabs>
        <w:overflowPunct w:val="0"/>
        <w:autoSpaceDE w:val="0"/>
        <w:autoSpaceDN w:val="0"/>
        <w:adjustRightInd w:val="0"/>
        <w:spacing w:before="120" w:after="120"/>
        <w:ind w:left="1418" w:hanging="567"/>
        <w:contextualSpacing w:val="0"/>
      </w:pPr>
      <w:r w:rsidRPr="00F75463">
        <w:lastRenderedPageBreak/>
        <w:t>conference and forum hosting;</w:t>
      </w:r>
    </w:p>
    <w:p w14:paraId="23F56D92" w14:textId="77777777" w:rsidR="00D8498A" w:rsidRPr="00F75463" w:rsidRDefault="00D8498A" w:rsidP="00F75463">
      <w:pPr>
        <w:pStyle w:val="ListParagraph"/>
        <w:numPr>
          <w:ilvl w:val="0"/>
          <w:numId w:val="11"/>
        </w:numPr>
        <w:tabs>
          <w:tab w:val="left" w:pos="1418"/>
        </w:tabs>
        <w:overflowPunct w:val="0"/>
        <w:autoSpaceDE w:val="0"/>
        <w:autoSpaceDN w:val="0"/>
        <w:adjustRightInd w:val="0"/>
        <w:spacing w:before="120" w:after="120"/>
        <w:ind w:left="1418" w:hanging="567"/>
        <w:contextualSpacing w:val="0"/>
      </w:pPr>
      <w:r w:rsidRPr="00F75463">
        <w:t xml:space="preserve">community education; </w:t>
      </w:r>
    </w:p>
    <w:p w14:paraId="19793383" w14:textId="77777777" w:rsidR="00D8498A" w:rsidRPr="00F75463" w:rsidRDefault="00D8498A" w:rsidP="00F75463">
      <w:pPr>
        <w:pStyle w:val="ListParagraph"/>
        <w:numPr>
          <w:ilvl w:val="0"/>
          <w:numId w:val="11"/>
        </w:numPr>
        <w:tabs>
          <w:tab w:val="left" w:pos="1418"/>
        </w:tabs>
        <w:overflowPunct w:val="0"/>
        <w:autoSpaceDE w:val="0"/>
        <w:autoSpaceDN w:val="0"/>
        <w:adjustRightInd w:val="0"/>
        <w:spacing w:before="120" w:after="120"/>
        <w:ind w:left="1418" w:hanging="567"/>
        <w:contextualSpacing w:val="0"/>
      </w:pPr>
      <w:r w:rsidRPr="00F75463">
        <w:t>sporting teams or events; or</w:t>
      </w:r>
    </w:p>
    <w:p w14:paraId="59B9E847" w14:textId="77777777" w:rsidR="00D8498A" w:rsidRPr="00F75463" w:rsidRDefault="00D8498A" w:rsidP="00F75463">
      <w:pPr>
        <w:pStyle w:val="ListParagraph"/>
        <w:numPr>
          <w:ilvl w:val="0"/>
          <w:numId w:val="11"/>
        </w:numPr>
        <w:tabs>
          <w:tab w:val="left" w:pos="1418"/>
        </w:tabs>
        <w:overflowPunct w:val="0"/>
        <w:autoSpaceDE w:val="0"/>
        <w:autoSpaceDN w:val="0"/>
        <w:adjustRightInd w:val="0"/>
        <w:spacing w:before="120" w:after="120"/>
        <w:ind w:left="1418" w:hanging="567"/>
        <w:contextualSpacing w:val="0"/>
      </w:pPr>
      <w:r w:rsidRPr="00F75463">
        <w:t>publications.</w:t>
      </w:r>
    </w:p>
    <w:p w14:paraId="6C663736" w14:textId="24445910" w:rsidR="0027606D" w:rsidRDefault="00D8498A" w:rsidP="00F75463">
      <w:pPr>
        <w:pStyle w:val="ListParagraph"/>
        <w:numPr>
          <w:ilvl w:val="1"/>
          <w:numId w:val="12"/>
        </w:numPr>
        <w:tabs>
          <w:tab w:val="left" w:pos="851"/>
        </w:tabs>
        <w:overflowPunct w:val="0"/>
        <w:autoSpaceDE w:val="0"/>
        <w:autoSpaceDN w:val="0"/>
        <w:adjustRightInd w:val="0"/>
        <w:spacing w:before="120" w:after="120"/>
        <w:ind w:left="851" w:hanging="851"/>
        <w:contextualSpacing w:val="0"/>
      </w:pPr>
      <w:r w:rsidRPr="5F5F58AF">
        <w:t>Incoming Sponsorship (received) by CIT, provided by an entity in support of ACT Government activities. This is sometimes referred to as Corporate Sponsorship. This results in the receipt of cash, products or provision of in-kind support to CIT.</w:t>
      </w:r>
    </w:p>
    <w:p w14:paraId="5F37CCFF" w14:textId="77777777" w:rsidR="002B6F2B" w:rsidRPr="002B6F2B" w:rsidRDefault="002B6F2B" w:rsidP="00F75463">
      <w:pPr>
        <w:pStyle w:val="ListParagraph"/>
        <w:numPr>
          <w:ilvl w:val="1"/>
          <w:numId w:val="12"/>
        </w:numPr>
        <w:tabs>
          <w:tab w:val="left" w:pos="851"/>
        </w:tabs>
        <w:overflowPunct w:val="0"/>
        <w:autoSpaceDE w:val="0"/>
        <w:autoSpaceDN w:val="0"/>
        <w:adjustRightInd w:val="0"/>
        <w:spacing w:before="120" w:after="120"/>
        <w:ind w:left="851" w:hanging="851"/>
        <w:contextualSpacing w:val="0"/>
      </w:pPr>
      <w:r w:rsidRPr="5F5F58AF">
        <w:t>Before seeking Incoming Sponsorship for any CIT event, activity or project the following matters should be considered:</w:t>
      </w:r>
    </w:p>
    <w:p w14:paraId="7AC030BE" w14:textId="01E405AD" w:rsidR="002B6F2B" w:rsidRPr="00F75463" w:rsidRDefault="002B6F2B" w:rsidP="00F75463">
      <w:pPr>
        <w:pStyle w:val="ListParagraph"/>
        <w:numPr>
          <w:ilvl w:val="0"/>
          <w:numId w:val="11"/>
        </w:numPr>
        <w:tabs>
          <w:tab w:val="left" w:pos="1418"/>
        </w:tabs>
        <w:overflowPunct w:val="0"/>
        <w:autoSpaceDE w:val="0"/>
        <w:autoSpaceDN w:val="0"/>
        <w:adjustRightInd w:val="0"/>
        <w:spacing w:before="120" w:after="120"/>
        <w:ind w:left="1418" w:hanging="567"/>
        <w:contextualSpacing w:val="0"/>
      </w:pPr>
      <w:r w:rsidRPr="00F75463">
        <w:t>what rights or benefits can be offered to a sponsor;</w:t>
      </w:r>
    </w:p>
    <w:p w14:paraId="3A1AEE9F" w14:textId="4426FCFB" w:rsidR="002B6F2B" w:rsidRPr="00F75463" w:rsidRDefault="002B6F2B" w:rsidP="00F75463">
      <w:pPr>
        <w:pStyle w:val="ListParagraph"/>
        <w:numPr>
          <w:ilvl w:val="0"/>
          <w:numId w:val="11"/>
        </w:numPr>
        <w:tabs>
          <w:tab w:val="left" w:pos="1418"/>
        </w:tabs>
        <w:overflowPunct w:val="0"/>
        <w:autoSpaceDE w:val="0"/>
        <w:autoSpaceDN w:val="0"/>
        <w:adjustRightInd w:val="0"/>
        <w:spacing w:before="120" w:after="120"/>
        <w:ind w:left="1418" w:hanging="567"/>
        <w:contextualSpacing w:val="0"/>
      </w:pPr>
      <w:r w:rsidRPr="00F75463">
        <w:t>what type of sponsorship support best suits the needs of CIT (cash or in-kind support);</w:t>
      </w:r>
    </w:p>
    <w:p w14:paraId="36411E82" w14:textId="4758FE80" w:rsidR="002B6F2B" w:rsidRPr="00F75463" w:rsidRDefault="002B6F2B" w:rsidP="00F75463">
      <w:pPr>
        <w:pStyle w:val="ListParagraph"/>
        <w:numPr>
          <w:ilvl w:val="0"/>
          <w:numId w:val="11"/>
        </w:numPr>
        <w:tabs>
          <w:tab w:val="left" w:pos="1418"/>
        </w:tabs>
        <w:overflowPunct w:val="0"/>
        <w:autoSpaceDE w:val="0"/>
        <w:autoSpaceDN w:val="0"/>
        <w:adjustRightInd w:val="0"/>
        <w:spacing w:before="120" w:after="120"/>
        <w:ind w:left="1418" w:hanging="567"/>
        <w:contextualSpacing w:val="0"/>
      </w:pPr>
      <w:r w:rsidRPr="00F75463">
        <w:t>whether the sponsorship arrangement will be viewed positively by the community; and</w:t>
      </w:r>
    </w:p>
    <w:p w14:paraId="7B3C2568" w14:textId="713E122E" w:rsidR="002B6F2B" w:rsidRPr="00F75463" w:rsidRDefault="002B6F2B" w:rsidP="00F75463">
      <w:pPr>
        <w:pStyle w:val="ListParagraph"/>
        <w:numPr>
          <w:ilvl w:val="0"/>
          <w:numId w:val="11"/>
        </w:numPr>
        <w:tabs>
          <w:tab w:val="left" w:pos="1418"/>
        </w:tabs>
        <w:overflowPunct w:val="0"/>
        <w:autoSpaceDE w:val="0"/>
        <w:autoSpaceDN w:val="0"/>
        <w:adjustRightInd w:val="0"/>
        <w:spacing w:before="120" w:after="120"/>
        <w:ind w:left="1418" w:hanging="567"/>
        <w:contextualSpacing w:val="0"/>
      </w:pPr>
      <w:r w:rsidRPr="00F75463">
        <w:t>whether the necessary resources will be available to manage the sponsorship.</w:t>
      </w:r>
    </w:p>
    <w:p w14:paraId="6D1988F6" w14:textId="7625AD7C" w:rsidR="002B6F2B" w:rsidRPr="002B6F2B" w:rsidRDefault="002B6F2B" w:rsidP="00F75463">
      <w:pPr>
        <w:pStyle w:val="ListParagraph"/>
        <w:numPr>
          <w:ilvl w:val="1"/>
          <w:numId w:val="12"/>
        </w:numPr>
        <w:tabs>
          <w:tab w:val="left" w:pos="851"/>
        </w:tabs>
        <w:overflowPunct w:val="0"/>
        <w:autoSpaceDE w:val="0"/>
        <w:autoSpaceDN w:val="0"/>
        <w:adjustRightInd w:val="0"/>
        <w:spacing w:before="120" w:after="120"/>
        <w:ind w:left="851" w:hanging="851"/>
        <w:contextualSpacing w:val="0"/>
      </w:pPr>
      <w:r w:rsidRPr="5F5F58AF">
        <w:t xml:space="preserve">Where advertisements are placed seeking Incoming </w:t>
      </w:r>
      <w:r w:rsidR="363D5B51" w:rsidRPr="5F5F58AF">
        <w:t>Sponsorship,</w:t>
      </w:r>
      <w:r w:rsidRPr="5F5F58AF">
        <w:t xml:space="preserve"> they should include details such as the opportunity, potential benefits to sponsors, the due date for proposals, the format required, the predetermined assessment criteria and the selection method to be utilised.</w:t>
      </w:r>
    </w:p>
    <w:p w14:paraId="12B0449F" w14:textId="1369BA52" w:rsidR="00A7573C" w:rsidRPr="00F75463" w:rsidRDefault="00A7573C" w:rsidP="00F75463">
      <w:pPr>
        <w:pStyle w:val="ListParagraph"/>
        <w:numPr>
          <w:ilvl w:val="1"/>
          <w:numId w:val="12"/>
        </w:numPr>
        <w:tabs>
          <w:tab w:val="left" w:pos="851"/>
        </w:tabs>
        <w:overflowPunct w:val="0"/>
        <w:autoSpaceDE w:val="0"/>
        <w:autoSpaceDN w:val="0"/>
        <w:adjustRightInd w:val="0"/>
        <w:spacing w:before="120" w:after="120"/>
        <w:ind w:left="851" w:hanging="851"/>
        <w:contextualSpacing w:val="0"/>
      </w:pPr>
      <w:r w:rsidRPr="5F5F58AF">
        <w:t xml:space="preserve">Direct sponsorship agreements will only be negotiated with organisations whose public image, products and services are consistent with the values, corporate purpose and specific policies of CIT and the ACT Government. </w:t>
      </w:r>
    </w:p>
    <w:p w14:paraId="0F4553D1" w14:textId="77777777" w:rsidR="00A7573C" w:rsidRDefault="00A7573C" w:rsidP="00F75463">
      <w:pPr>
        <w:pStyle w:val="ListParagraph"/>
        <w:numPr>
          <w:ilvl w:val="1"/>
          <w:numId w:val="12"/>
        </w:numPr>
        <w:tabs>
          <w:tab w:val="left" w:pos="851"/>
        </w:tabs>
        <w:overflowPunct w:val="0"/>
        <w:autoSpaceDE w:val="0"/>
        <w:autoSpaceDN w:val="0"/>
        <w:adjustRightInd w:val="0"/>
        <w:spacing w:before="120" w:after="120"/>
        <w:ind w:left="851" w:hanging="851"/>
        <w:contextualSpacing w:val="0"/>
      </w:pPr>
      <w:r w:rsidRPr="5F5F58AF">
        <w:t>When considering an organisation as a potential sponsor, CIT should evaluate the appropriateness of the type of products or services the organisation markets, the marketing methods used, its public image as an employer and the impact its products and processing have on the environment.</w:t>
      </w:r>
    </w:p>
    <w:p w14:paraId="164924AE" w14:textId="0A6D53B2" w:rsidR="000B0D6F" w:rsidRDefault="00A7573C" w:rsidP="00F75463">
      <w:pPr>
        <w:pStyle w:val="ListParagraph"/>
        <w:numPr>
          <w:ilvl w:val="1"/>
          <w:numId w:val="12"/>
        </w:numPr>
        <w:tabs>
          <w:tab w:val="left" w:pos="851"/>
        </w:tabs>
        <w:overflowPunct w:val="0"/>
        <w:autoSpaceDE w:val="0"/>
        <w:autoSpaceDN w:val="0"/>
        <w:adjustRightInd w:val="0"/>
        <w:spacing w:before="120" w:after="120"/>
        <w:ind w:left="851" w:hanging="851"/>
        <w:contextualSpacing w:val="0"/>
      </w:pPr>
      <w:r w:rsidRPr="5F5F58AF">
        <w:t xml:space="preserve">Where there is doubt as to the suitability of an organisation, the sponsorship </w:t>
      </w:r>
      <w:r w:rsidR="00E15CAA" w:rsidRPr="5F5F58AF">
        <w:t>n</w:t>
      </w:r>
      <w:r w:rsidRPr="5F5F58AF">
        <w:t>egotiations should not proceed until advice has been sought from the relevant Director</w:t>
      </w:r>
      <w:r w:rsidR="006D5803" w:rsidRPr="5F5F58AF">
        <w:t xml:space="preserve"> who may escalate the situation to their relevant Executive Director</w:t>
      </w:r>
      <w:r w:rsidRPr="5F5F58AF">
        <w:t>.</w:t>
      </w:r>
    </w:p>
    <w:p w14:paraId="63122213" w14:textId="70EEAF62" w:rsidR="0054280B" w:rsidRDefault="0054280B" w:rsidP="008D3325">
      <w:pPr>
        <w:pStyle w:val="Heading2"/>
        <w:numPr>
          <w:ilvl w:val="0"/>
          <w:numId w:val="8"/>
        </w:numPr>
        <w:ind w:left="851" w:hanging="851"/>
      </w:pPr>
      <w:r>
        <w:t>Sponsorship Principles</w:t>
      </w:r>
    </w:p>
    <w:p w14:paraId="0FCB4368" w14:textId="7B0EAE43" w:rsidR="0054280B" w:rsidRPr="00E52BA5" w:rsidRDefault="009C480D" w:rsidP="008D3325">
      <w:pPr>
        <w:pStyle w:val="Policy-BodyText"/>
        <w:numPr>
          <w:ilvl w:val="1"/>
          <w:numId w:val="8"/>
        </w:numPr>
        <w:tabs>
          <w:tab w:val="num" w:pos="1277"/>
        </w:tabs>
        <w:spacing w:before="120" w:after="120"/>
        <w:ind w:left="851" w:hanging="851"/>
        <w:contextualSpacing w:val="0"/>
        <w:rPr>
          <w:sz w:val="22"/>
          <w:szCs w:val="22"/>
        </w:rPr>
      </w:pPr>
      <w:r w:rsidRPr="00E52BA5">
        <w:rPr>
          <w:sz w:val="22"/>
          <w:szCs w:val="22"/>
        </w:rPr>
        <w:t>T</w:t>
      </w:r>
      <w:r w:rsidR="0052204B" w:rsidRPr="00E52BA5">
        <w:rPr>
          <w:sz w:val="22"/>
          <w:szCs w:val="22"/>
        </w:rPr>
        <w:t>he Independent Commission Against Corruption’s (ICAC) ‘Ten sponsorship principles’</w:t>
      </w:r>
      <w:r w:rsidRPr="00E52BA5">
        <w:rPr>
          <w:sz w:val="22"/>
          <w:szCs w:val="22"/>
        </w:rPr>
        <w:t xml:space="preserve"> </w:t>
      </w:r>
      <w:r w:rsidR="0052204B" w:rsidRPr="00E52BA5">
        <w:rPr>
          <w:sz w:val="22"/>
          <w:szCs w:val="22"/>
        </w:rPr>
        <w:t xml:space="preserve">are listed with accompanying explanations </w:t>
      </w:r>
      <w:r w:rsidR="02CB4BF0" w:rsidRPr="00E52BA5">
        <w:rPr>
          <w:sz w:val="22"/>
          <w:szCs w:val="22"/>
        </w:rPr>
        <w:t xml:space="preserve">relating to </w:t>
      </w:r>
      <w:r w:rsidR="0052204B" w:rsidRPr="00E52BA5">
        <w:rPr>
          <w:sz w:val="22"/>
          <w:szCs w:val="22"/>
        </w:rPr>
        <w:t>application within CIT</w:t>
      </w:r>
      <w:r w:rsidR="00865669" w:rsidRPr="00E52BA5">
        <w:rPr>
          <w:sz w:val="22"/>
          <w:szCs w:val="22"/>
        </w:rPr>
        <w:t xml:space="preserve"> </w:t>
      </w:r>
      <w:r w:rsidR="2C20D9F1" w:rsidRPr="00E52BA5">
        <w:rPr>
          <w:sz w:val="22"/>
          <w:szCs w:val="22"/>
        </w:rPr>
        <w:t>provided at</w:t>
      </w:r>
      <w:r w:rsidR="00865669" w:rsidRPr="00E52BA5">
        <w:rPr>
          <w:sz w:val="22"/>
          <w:szCs w:val="22"/>
        </w:rPr>
        <w:t xml:space="preserve"> Appendix A</w:t>
      </w:r>
      <w:r w:rsidR="0052204B" w:rsidRPr="00E52BA5">
        <w:rPr>
          <w:sz w:val="22"/>
          <w:szCs w:val="22"/>
        </w:rPr>
        <w:t xml:space="preserve">. CIT employees are required to adhere to these principles or </w:t>
      </w:r>
      <w:r w:rsidR="14399266" w:rsidRPr="00E52BA5">
        <w:rPr>
          <w:sz w:val="22"/>
          <w:szCs w:val="22"/>
        </w:rPr>
        <w:t xml:space="preserve">advise the </w:t>
      </w:r>
      <w:r w:rsidR="18E23FB2" w:rsidRPr="00E52BA5">
        <w:rPr>
          <w:sz w:val="22"/>
          <w:szCs w:val="22"/>
        </w:rPr>
        <w:t>Director</w:t>
      </w:r>
      <w:r w:rsidR="44D1D744" w:rsidRPr="00E52BA5">
        <w:rPr>
          <w:sz w:val="22"/>
          <w:szCs w:val="22"/>
        </w:rPr>
        <w:t>/</w:t>
      </w:r>
      <w:r w:rsidR="18E23FB2" w:rsidRPr="00E52BA5">
        <w:rPr>
          <w:sz w:val="22"/>
          <w:szCs w:val="22"/>
        </w:rPr>
        <w:t>Executive Director and</w:t>
      </w:r>
      <w:r w:rsidR="0052204B" w:rsidRPr="00E52BA5">
        <w:rPr>
          <w:sz w:val="22"/>
          <w:szCs w:val="22"/>
        </w:rPr>
        <w:t xml:space="preserve"> document any reason for variation from them.</w:t>
      </w:r>
    </w:p>
    <w:p w14:paraId="372D7904" w14:textId="0864C1F0" w:rsidR="00200D43" w:rsidRDefault="00200D43" w:rsidP="008D3325">
      <w:pPr>
        <w:pStyle w:val="Heading2"/>
        <w:numPr>
          <w:ilvl w:val="0"/>
          <w:numId w:val="8"/>
        </w:numPr>
        <w:ind w:left="851" w:hanging="851"/>
      </w:pPr>
      <w:r>
        <w:t>Managing Sponsorship</w:t>
      </w:r>
    </w:p>
    <w:p w14:paraId="1431259B" w14:textId="77777777" w:rsidR="00565510" w:rsidRDefault="00565510" w:rsidP="008D3325">
      <w:pPr>
        <w:pStyle w:val="Policy-BodyText"/>
        <w:numPr>
          <w:ilvl w:val="1"/>
          <w:numId w:val="8"/>
        </w:numPr>
        <w:spacing w:before="120" w:after="120"/>
        <w:ind w:left="851" w:hanging="851"/>
        <w:contextualSpacing w:val="0"/>
        <w:rPr>
          <w:sz w:val="22"/>
          <w:szCs w:val="22"/>
        </w:rPr>
      </w:pPr>
      <w:r w:rsidRPr="5F5F58AF">
        <w:rPr>
          <w:sz w:val="22"/>
          <w:szCs w:val="22"/>
        </w:rPr>
        <w:t>Following negotiation of sponsorship arrangements, an agreement in some form must be executed and may be prepared in the following formats:</w:t>
      </w:r>
    </w:p>
    <w:tbl>
      <w:tblPr>
        <w:tblStyle w:val="TableGrid"/>
        <w:tblW w:w="5000" w:type="pct"/>
        <w:tblLook w:val="04A0" w:firstRow="1" w:lastRow="0" w:firstColumn="1" w:lastColumn="0" w:noHBand="0" w:noVBand="1"/>
      </w:tblPr>
      <w:tblGrid>
        <w:gridCol w:w="2187"/>
        <w:gridCol w:w="3905"/>
        <w:gridCol w:w="3280"/>
      </w:tblGrid>
      <w:tr w:rsidR="00F45E3A" w14:paraId="6E825720" w14:textId="77777777" w:rsidTr="00E52BA5">
        <w:trPr>
          <w:tblHeader/>
        </w:trPr>
        <w:tc>
          <w:tcPr>
            <w:tcW w:w="116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17934A" w14:textId="77777777" w:rsidR="00E734A2" w:rsidRPr="00E734A2" w:rsidRDefault="49BFE5AD" w:rsidP="6058FC22">
            <w:pPr>
              <w:spacing w:before="120" w:after="120"/>
              <w:jc w:val="center"/>
              <w:rPr>
                <w:rFonts w:asciiTheme="minorHAnsi" w:hAnsiTheme="minorHAnsi" w:cstheme="minorBidi"/>
                <w:b/>
                <w:bCs/>
                <w:sz w:val="22"/>
                <w:szCs w:val="22"/>
              </w:rPr>
            </w:pPr>
            <w:r w:rsidRPr="5F5F58AF">
              <w:rPr>
                <w:rFonts w:asciiTheme="minorHAnsi" w:hAnsiTheme="minorHAnsi" w:cstheme="minorBidi"/>
                <w:b/>
                <w:bCs/>
                <w:sz w:val="22"/>
                <w:szCs w:val="22"/>
              </w:rPr>
              <w:lastRenderedPageBreak/>
              <w:t>Amount</w:t>
            </w:r>
          </w:p>
        </w:tc>
        <w:tc>
          <w:tcPr>
            <w:tcW w:w="20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7A5DF0" w14:textId="77777777" w:rsidR="00E734A2" w:rsidRPr="00E734A2" w:rsidRDefault="49BFE5AD" w:rsidP="5F5F58AF">
            <w:pPr>
              <w:spacing w:before="120" w:after="120"/>
              <w:jc w:val="center"/>
              <w:rPr>
                <w:rFonts w:asciiTheme="minorHAnsi" w:hAnsiTheme="minorHAnsi" w:cstheme="minorBidi"/>
                <w:b/>
                <w:bCs/>
                <w:sz w:val="22"/>
                <w:szCs w:val="22"/>
              </w:rPr>
            </w:pPr>
            <w:r w:rsidRPr="5F5F58AF">
              <w:rPr>
                <w:rFonts w:asciiTheme="minorHAnsi" w:hAnsiTheme="minorHAnsi" w:cstheme="minorBidi"/>
                <w:b/>
                <w:bCs/>
                <w:sz w:val="22"/>
                <w:szCs w:val="22"/>
              </w:rPr>
              <w:t>Delegate</w:t>
            </w:r>
          </w:p>
        </w:tc>
        <w:tc>
          <w:tcPr>
            <w:tcW w:w="17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72BB26" w14:textId="77777777" w:rsidR="00E734A2" w:rsidRPr="00E734A2" w:rsidRDefault="49BFE5AD" w:rsidP="5F5F58AF">
            <w:pPr>
              <w:spacing w:before="120" w:after="120"/>
              <w:jc w:val="center"/>
              <w:rPr>
                <w:rFonts w:asciiTheme="minorHAnsi" w:hAnsiTheme="minorHAnsi" w:cstheme="minorBidi"/>
                <w:b/>
                <w:bCs/>
                <w:sz w:val="22"/>
                <w:szCs w:val="22"/>
              </w:rPr>
            </w:pPr>
            <w:r w:rsidRPr="5F5F58AF">
              <w:rPr>
                <w:rFonts w:asciiTheme="minorHAnsi" w:hAnsiTheme="minorHAnsi" w:cstheme="minorBidi"/>
                <w:b/>
                <w:bCs/>
                <w:sz w:val="22"/>
                <w:szCs w:val="22"/>
              </w:rPr>
              <w:t>Agreement</w:t>
            </w:r>
          </w:p>
        </w:tc>
      </w:tr>
      <w:tr w:rsidR="00F45E3A" w14:paraId="31840DA7" w14:textId="77777777" w:rsidTr="00E52BA5">
        <w:tc>
          <w:tcPr>
            <w:tcW w:w="1166" w:type="pct"/>
            <w:tcBorders>
              <w:top w:val="single" w:sz="4" w:space="0" w:color="auto"/>
              <w:left w:val="single" w:sz="4" w:space="0" w:color="auto"/>
              <w:bottom w:val="single" w:sz="4" w:space="0" w:color="auto"/>
              <w:right w:val="single" w:sz="4" w:space="0" w:color="auto"/>
            </w:tcBorders>
            <w:hideMark/>
          </w:tcPr>
          <w:p w14:paraId="19555AEB" w14:textId="77777777" w:rsidR="00E734A2" w:rsidRPr="00E734A2" w:rsidRDefault="49BFE5AD" w:rsidP="5F5F58AF">
            <w:pPr>
              <w:spacing w:before="120" w:after="120"/>
              <w:jc w:val="center"/>
              <w:rPr>
                <w:rFonts w:asciiTheme="minorHAnsi" w:hAnsiTheme="minorHAnsi" w:cstheme="minorBidi"/>
                <w:sz w:val="22"/>
                <w:szCs w:val="22"/>
              </w:rPr>
            </w:pPr>
            <w:r w:rsidRPr="5F5F58AF">
              <w:rPr>
                <w:rFonts w:asciiTheme="minorHAnsi" w:hAnsiTheme="minorHAnsi" w:cstheme="minorBidi"/>
                <w:sz w:val="22"/>
                <w:szCs w:val="22"/>
              </w:rPr>
              <w:t>$0-$2,000</w:t>
            </w:r>
          </w:p>
        </w:tc>
        <w:tc>
          <w:tcPr>
            <w:tcW w:w="2083" w:type="pct"/>
            <w:tcBorders>
              <w:top w:val="single" w:sz="4" w:space="0" w:color="auto"/>
              <w:left w:val="single" w:sz="4" w:space="0" w:color="auto"/>
              <w:bottom w:val="single" w:sz="4" w:space="0" w:color="auto"/>
              <w:right w:val="single" w:sz="4" w:space="0" w:color="auto"/>
            </w:tcBorders>
            <w:hideMark/>
          </w:tcPr>
          <w:p w14:paraId="7A8D993F" w14:textId="77777777" w:rsidR="00E734A2" w:rsidRPr="00E734A2" w:rsidRDefault="49BFE5AD" w:rsidP="5F5F58AF">
            <w:pPr>
              <w:spacing w:before="120" w:after="120"/>
              <w:jc w:val="center"/>
              <w:rPr>
                <w:rFonts w:asciiTheme="minorHAnsi" w:hAnsiTheme="minorHAnsi" w:cstheme="minorBidi"/>
                <w:sz w:val="22"/>
                <w:szCs w:val="22"/>
              </w:rPr>
            </w:pPr>
            <w:r w:rsidRPr="5F5F58AF">
              <w:rPr>
                <w:rFonts w:asciiTheme="minorHAnsi" w:hAnsiTheme="minorHAnsi" w:cstheme="minorBidi"/>
                <w:sz w:val="22"/>
                <w:szCs w:val="22"/>
              </w:rPr>
              <w:t>Directors or above</w:t>
            </w:r>
          </w:p>
        </w:tc>
        <w:tc>
          <w:tcPr>
            <w:tcW w:w="1750" w:type="pct"/>
            <w:tcBorders>
              <w:top w:val="single" w:sz="4" w:space="0" w:color="auto"/>
              <w:left w:val="single" w:sz="4" w:space="0" w:color="auto"/>
              <w:bottom w:val="single" w:sz="4" w:space="0" w:color="auto"/>
              <w:right w:val="single" w:sz="4" w:space="0" w:color="auto"/>
            </w:tcBorders>
            <w:hideMark/>
          </w:tcPr>
          <w:p w14:paraId="253D08B7" w14:textId="650921C9" w:rsidR="00E734A2" w:rsidRPr="00E734A2" w:rsidRDefault="3BCF77D7" w:rsidP="5F5F58AF">
            <w:pPr>
              <w:spacing w:before="120" w:after="120"/>
              <w:jc w:val="center"/>
              <w:rPr>
                <w:rFonts w:asciiTheme="minorHAnsi" w:hAnsiTheme="minorHAnsi" w:cstheme="minorBidi"/>
                <w:sz w:val="22"/>
                <w:szCs w:val="22"/>
              </w:rPr>
            </w:pPr>
            <w:r w:rsidRPr="5F5F58AF">
              <w:rPr>
                <w:rFonts w:asciiTheme="minorHAnsi" w:hAnsiTheme="minorHAnsi" w:cstheme="minorBidi"/>
                <w:sz w:val="22"/>
                <w:szCs w:val="22"/>
              </w:rPr>
              <w:t>An exchange in writing</w:t>
            </w:r>
          </w:p>
        </w:tc>
      </w:tr>
      <w:tr w:rsidR="00F45E3A" w14:paraId="153250C4" w14:textId="77777777" w:rsidTr="00E52BA5">
        <w:tc>
          <w:tcPr>
            <w:tcW w:w="1166" w:type="pct"/>
            <w:tcBorders>
              <w:top w:val="single" w:sz="4" w:space="0" w:color="auto"/>
              <w:left w:val="single" w:sz="4" w:space="0" w:color="auto"/>
              <w:bottom w:val="single" w:sz="4" w:space="0" w:color="auto"/>
              <w:right w:val="single" w:sz="4" w:space="0" w:color="auto"/>
            </w:tcBorders>
            <w:hideMark/>
          </w:tcPr>
          <w:p w14:paraId="320C89D9" w14:textId="77777777" w:rsidR="00E734A2" w:rsidRPr="00E734A2" w:rsidRDefault="49BFE5AD" w:rsidP="5F5F58AF">
            <w:pPr>
              <w:spacing w:before="120" w:after="120"/>
              <w:jc w:val="center"/>
              <w:rPr>
                <w:rFonts w:asciiTheme="minorHAnsi" w:hAnsiTheme="minorHAnsi" w:cstheme="minorBidi"/>
                <w:sz w:val="22"/>
                <w:szCs w:val="22"/>
              </w:rPr>
            </w:pPr>
            <w:r w:rsidRPr="5F5F58AF">
              <w:rPr>
                <w:rFonts w:asciiTheme="minorHAnsi" w:hAnsiTheme="minorHAnsi" w:cstheme="minorBidi"/>
                <w:sz w:val="22"/>
                <w:szCs w:val="22"/>
              </w:rPr>
              <w:t>$2,000-$10,000</w:t>
            </w:r>
          </w:p>
        </w:tc>
        <w:tc>
          <w:tcPr>
            <w:tcW w:w="2083" w:type="pct"/>
            <w:tcBorders>
              <w:top w:val="single" w:sz="4" w:space="0" w:color="auto"/>
              <w:left w:val="single" w:sz="4" w:space="0" w:color="auto"/>
              <w:bottom w:val="single" w:sz="4" w:space="0" w:color="auto"/>
              <w:right w:val="single" w:sz="4" w:space="0" w:color="auto"/>
            </w:tcBorders>
            <w:hideMark/>
          </w:tcPr>
          <w:p w14:paraId="26111CEE" w14:textId="77777777" w:rsidR="00E734A2" w:rsidRPr="00E734A2" w:rsidRDefault="49BFE5AD" w:rsidP="5F5F58AF">
            <w:pPr>
              <w:spacing w:before="120" w:after="120"/>
              <w:jc w:val="center"/>
              <w:rPr>
                <w:rFonts w:asciiTheme="minorHAnsi" w:hAnsiTheme="minorHAnsi" w:cstheme="minorBidi"/>
                <w:sz w:val="22"/>
                <w:szCs w:val="22"/>
              </w:rPr>
            </w:pPr>
            <w:r w:rsidRPr="5F5F58AF">
              <w:rPr>
                <w:rFonts w:asciiTheme="minorHAnsi" w:hAnsiTheme="minorHAnsi" w:cstheme="minorBidi"/>
                <w:sz w:val="22"/>
                <w:szCs w:val="22"/>
              </w:rPr>
              <w:t>Executive Directors</w:t>
            </w:r>
          </w:p>
        </w:tc>
        <w:tc>
          <w:tcPr>
            <w:tcW w:w="1750" w:type="pct"/>
            <w:tcBorders>
              <w:top w:val="single" w:sz="4" w:space="0" w:color="auto"/>
              <w:left w:val="single" w:sz="4" w:space="0" w:color="auto"/>
              <w:bottom w:val="single" w:sz="4" w:space="0" w:color="auto"/>
              <w:right w:val="single" w:sz="4" w:space="0" w:color="auto"/>
            </w:tcBorders>
            <w:hideMark/>
          </w:tcPr>
          <w:p w14:paraId="798F9ACB" w14:textId="24D13AE8" w:rsidR="00E734A2" w:rsidRPr="00E734A2" w:rsidRDefault="49BFE5AD" w:rsidP="5F5F58AF">
            <w:pPr>
              <w:spacing w:before="120" w:after="120"/>
              <w:jc w:val="center"/>
              <w:rPr>
                <w:rFonts w:asciiTheme="minorHAnsi" w:hAnsiTheme="minorHAnsi" w:cstheme="minorBidi"/>
                <w:sz w:val="22"/>
                <w:szCs w:val="22"/>
              </w:rPr>
            </w:pPr>
            <w:r w:rsidRPr="5F5F58AF">
              <w:rPr>
                <w:rFonts w:asciiTheme="minorHAnsi" w:hAnsiTheme="minorHAnsi" w:cstheme="minorBidi"/>
                <w:sz w:val="22"/>
                <w:szCs w:val="22"/>
              </w:rPr>
              <w:t xml:space="preserve">Sponsorship Letter (Attachment </w:t>
            </w:r>
            <w:r w:rsidR="3D540302" w:rsidRPr="5F5F58AF">
              <w:rPr>
                <w:rFonts w:asciiTheme="minorHAnsi" w:hAnsiTheme="minorHAnsi" w:cstheme="minorBidi"/>
                <w:sz w:val="22"/>
                <w:szCs w:val="22"/>
              </w:rPr>
              <w:t>A</w:t>
            </w:r>
            <w:r w:rsidRPr="5F5F58AF">
              <w:rPr>
                <w:rFonts w:asciiTheme="minorHAnsi" w:hAnsiTheme="minorHAnsi" w:cstheme="minorBidi"/>
                <w:sz w:val="22"/>
                <w:szCs w:val="22"/>
              </w:rPr>
              <w:t>)</w:t>
            </w:r>
          </w:p>
        </w:tc>
      </w:tr>
      <w:tr w:rsidR="00F45E3A" w14:paraId="26D80659" w14:textId="77777777" w:rsidTr="00E52BA5">
        <w:tc>
          <w:tcPr>
            <w:tcW w:w="1166" w:type="pct"/>
            <w:tcBorders>
              <w:top w:val="single" w:sz="4" w:space="0" w:color="auto"/>
              <w:left w:val="single" w:sz="4" w:space="0" w:color="auto"/>
              <w:bottom w:val="single" w:sz="4" w:space="0" w:color="auto"/>
              <w:right w:val="single" w:sz="4" w:space="0" w:color="auto"/>
            </w:tcBorders>
            <w:hideMark/>
          </w:tcPr>
          <w:p w14:paraId="46511BC9" w14:textId="77777777" w:rsidR="00E734A2" w:rsidRPr="00E734A2" w:rsidRDefault="49BFE5AD" w:rsidP="5F5F58AF">
            <w:pPr>
              <w:spacing w:before="120" w:after="120"/>
              <w:jc w:val="center"/>
              <w:rPr>
                <w:rFonts w:asciiTheme="minorHAnsi" w:hAnsiTheme="minorHAnsi" w:cstheme="minorBidi"/>
                <w:sz w:val="22"/>
                <w:szCs w:val="22"/>
              </w:rPr>
            </w:pPr>
            <w:r w:rsidRPr="5F5F58AF">
              <w:rPr>
                <w:rFonts w:asciiTheme="minorHAnsi" w:hAnsiTheme="minorHAnsi" w:cstheme="minorBidi"/>
                <w:sz w:val="22"/>
                <w:szCs w:val="22"/>
              </w:rPr>
              <w:t>$10,000+</w:t>
            </w:r>
          </w:p>
        </w:tc>
        <w:tc>
          <w:tcPr>
            <w:tcW w:w="2083" w:type="pct"/>
            <w:tcBorders>
              <w:top w:val="single" w:sz="4" w:space="0" w:color="auto"/>
              <w:left w:val="single" w:sz="4" w:space="0" w:color="auto"/>
              <w:bottom w:val="single" w:sz="4" w:space="0" w:color="auto"/>
              <w:right w:val="single" w:sz="4" w:space="0" w:color="auto"/>
            </w:tcBorders>
            <w:hideMark/>
          </w:tcPr>
          <w:p w14:paraId="30A3CAC8" w14:textId="77777777" w:rsidR="00E734A2" w:rsidRPr="00E734A2" w:rsidRDefault="49BFE5AD" w:rsidP="5F5F58AF">
            <w:pPr>
              <w:spacing w:before="120" w:after="120"/>
              <w:jc w:val="center"/>
              <w:rPr>
                <w:rFonts w:asciiTheme="minorHAnsi" w:hAnsiTheme="minorHAnsi" w:cstheme="minorBidi"/>
                <w:sz w:val="22"/>
                <w:szCs w:val="22"/>
              </w:rPr>
            </w:pPr>
            <w:r w:rsidRPr="5F5F58AF">
              <w:rPr>
                <w:rFonts w:asciiTheme="minorHAnsi" w:hAnsiTheme="minorHAnsi" w:cstheme="minorBidi"/>
                <w:sz w:val="22"/>
                <w:szCs w:val="22"/>
              </w:rPr>
              <w:t xml:space="preserve">CEO (plus the CIT Board where necessary) </w:t>
            </w:r>
          </w:p>
        </w:tc>
        <w:tc>
          <w:tcPr>
            <w:tcW w:w="1750" w:type="pct"/>
            <w:tcBorders>
              <w:top w:val="single" w:sz="4" w:space="0" w:color="auto"/>
              <w:left w:val="single" w:sz="4" w:space="0" w:color="auto"/>
              <w:bottom w:val="single" w:sz="4" w:space="0" w:color="auto"/>
              <w:right w:val="single" w:sz="4" w:space="0" w:color="auto"/>
            </w:tcBorders>
            <w:hideMark/>
          </w:tcPr>
          <w:p w14:paraId="16A72F8E" w14:textId="2D642690" w:rsidR="00E734A2" w:rsidRPr="00E734A2" w:rsidRDefault="49BFE5AD" w:rsidP="5F5F58AF">
            <w:pPr>
              <w:spacing w:before="120" w:after="120"/>
              <w:jc w:val="center"/>
              <w:rPr>
                <w:rFonts w:asciiTheme="minorHAnsi" w:hAnsiTheme="minorHAnsi" w:cstheme="minorBidi"/>
                <w:sz w:val="22"/>
                <w:szCs w:val="22"/>
              </w:rPr>
            </w:pPr>
            <w:r w:rsidRPr="5F5F58AF">
              <w:rPr>
                <w:rFonts w:asciiTheme="minorHAnsi" w:hAnsiTheme="minorHAnsi" w:cstheme="minorBidi"/>
                <w:sz w:val="22"/>
                <w:szCs w:val="22"/>
              </w:rPr>
              <w:t xml:space="preserve">Sponsorship Contract (Attachment </w:t>
            </w:r>
            <w:r w:rsidR="3D540302" w:rsidRPr="5F5F58AF">
              <w:rPr>
                <w:rFonts w:asciiTheme="minorHAnsi" w:hAnsiTheme="minorHAnsi" w:cstheme="minorBidi"/>
                <w:sz w:val="22"/>
                <w:szCs w:val="22"/>
              </w:rPr>
              <w:t>B</w:t>
            </w:r>
            <w:r w:rsidRPr="5F5F58AF">
              <w:rPr>
                <w:rFonts w:asciiTheme="minorHAnsi" w:hAnsiTheme="minorHAnsi" w:cstheme="minorBidi"/>
                <w:sz w:val="22"/>
                <w:szCs w:val="22"/>
              </w:rPr>
              <w:t>)</w:t>
            </w:r>
          </w:p>
        </w:tc>
      </w:tr>
    </w:tbl>
    <w:p w14:paraId="21DCCE60" w14:textId="6F1C992E" w:rsidR="00A7573C" w:rsidRPr="00CF4E95" w:rsidRDefault="00A7573C" w:rsidP="002B2159">
      <w:pPr>
        <w:pStyle w:val="Heading2"/>
        <w:numPr>
          <w:ilvl w:val="0"/>
          <w:numId w:val="8"/>
        </w:numPr>
        <w:ind w:left="851" w:hanging="851"/>
      </w:pPr>
      <w:r w:rsidRPr="00CF4E95">
        <w:t>Legal, contracts and written agreements</w:t>
      </w:r>
    </w:p>
    <w:p w14:paraId="622C859B" w14:textId="528FF8EA" w:rsidR="00A7573C" w:rsidRPr="00E52BA5" w:rsidRDefault="00A7573C" w:rsidP="002B2159">
      <w:pPr>
        <w:pStyle w:val="Policy-BodyText"/>
        <w:numPr>
          <w:ilvl w:val="1"/>
          <w:numId w:val="8"/>
        </w:numPr>
        <w:spacing w:before="120" w:after="120"/>
        <w:ind w:left="851" w:hanging="851"/>
        <w:contextualSpacing w:val="0"/>
        <w:rPr>
          <w:sz w:val="22"/>
          <w:szCs w:val="22"/>
        </w:rPr>
      </w:pPr>
      <w:r w:rsidRPr="5F5F58AF">
        <w:rPr>
          <w:sz w:val="22"/>
          <w:szCs w:val="22"/>
        </w:rPr>
        <w:t>Sponsorship documents</w:t>
      </w:r>
      <w:r w:rsidR="6A4BF6E9" w:rsidRPr="5F5F58AF">
        <w:rPr>
          <w:sz w:val="22"/>
          <w:szCs w:val="22"/>
        </w:rPr>
        <w:t xml:space="preserve"> should be kept in accordance with CIT</w:t>
      </w:r>
      <w:r w:rsidR="009942C2">
        <w:rPr>
          <w:sz w:val="22"/>
          <w:szCs w:val="22"/>
        </w:rPr>
        <w:t>’</w:t>
      </w:r>
      <w:r w:rsidR="6A4BF6E9" w:rsidRPr="5F5F58AF">
        <w:rPr>
          <w:sz w:val="22"/>
          <w:szCs w:val="22"/>
        </w:rPr>
        <w:t>s Record Management Policy and Procedures.</w:t>
      </w:r>
    </w:p>
    <w:p w14:paraId="49B6BBAE" w14:textId="7D9BB34E" w:rsidR="00A7573C" w:rsidRDefault="00A7573C" w:rsidP="002B2159">
      <w:pPr>
        <w:pStyle w:val="Policy-BodyText"/>
        <w:numPr>
          <w:ilvl w:val="1"/>
          <w:numId w:val="8"/>
        </w:numPr>
        <w:spacing w:before="120" w:after="120"/>
        <w:ind w:left="851" w:hanging="851"/>
        <w:contextualSpacing w:val="0"/>
        <w:rPr>
          <w:sz w:val="22"/>
          <w:szCs w:val="22"/>
        </w:rPr>
      </w:pPr>
      <w:r w:rsidRPr="5F5F58AF">
        <w:rPr>
          <w:sz w:val="22"/>
          <w:szCs w:val="22"/>
        </w:rPr>
        <w:t xml:space="preserve">Sponsorship agreements shall be for a specific period and purpose and may be </w:t>
      </w:r>
      <w:r w:rsidR="00585AB9" w:rsidRPr="5F5F58AF">
        <w:rPr>
          <w:sz w:val="22"/>
          <w:szCs w:val="22"/>
        </w:rPr>
        <w:t xml:space="preserve">re-negotiated by either party. </w:t>
      </w:r>
      <w:r w:rsidRPr="5F5F58AF">
        <w:rPr>
          <w:sz w:val="22"/>
          <w:szCs w:val="22"/>
        </w:rPr>
        <w:t>This ensures CIT will not be financially disadvantaged in the event a sponsor withdraws.</w:t>
      </w:r>
    </w:p>
    <w:p w14:paraId="024AE412" w14:textId="77777777" w:rsidR="00A7573C" w:rsidRDefault="00A7573C" w:rsidP="002B2159">
      <w:pPr>
        <w:pStyle w:val="Policy-BodyText"/>
        <w:numPr>
          <w:ilvl w:val="1"/>
          <w:numId w:val="8"/>
        </w:numPr>
        <w:spacing w:before="120" w:after="120"/>
        <w:ind w:left="851" w:hanging="851"/>
        <w:contextualSpacing w:val="0"/>
        <w:rPr>
          <w:sz w:val="22"/>
          <w:szCs w:val="22"/>
        </w:rPr>
      </w:pPr>
      <w:r w:rsidRPr="5F5F58AF">
        <w:rPr>
          <w:sz w:val="22"/>
          <w:szCs w:val="22"/>
        </w:rPr>
        <w:t>Every sponsorship agreement will contain a clause that allows for the cancellation of an agreement without penalty where information questioning the appropriateness of an organisation as a sponsor comes to light after the agreement has been signed.</w:t>
      </w:r>
    </w:p>
    <w:p w14:paraId="0E1C428F" w14:textId="77777777" w:rsidR="00A7573C" w:rsidRDefault="00A7573C" w:rsidP="002B2159">
      <w:pPr>
        <w:pStyle w:val="Policy-BodyText"/>
        <w:numPr>
          <w:ilvl w:val="1"/>
          <w:numId w:val="8"/>
        </w:numPr>
        <w:spacing w:before="120" w:after="120"/>
        <w:ind w:left="851" w:hanging="851"/>
        <w:contextualSpacing w:val="0"/>
        <w:rPr>
          <w:sz w:val="22"/>
          <w:szCs w:val="22"/>
        </w:rPr>
      </w:pPr>
      <w:r w:rsidRPr="5F5F58AF">
        <w:rPr>
          <w:sz w:val="22"/>
          <w:szCs w:val="22"/>
        </w:rPr>
        <w:t>The agreement must include the acknowledgement arrangements to avoid any future dispute over the nature of the obligations.</w:t>
      </w:r>
    </w:p>
    <w:p w14:paraId="6D322E62" w14:textId="77777777" w:rsidR="00A7573C" w:rsidRDefault="00A7573C" w:rsidP="002B2159">
      <w:pPr>
        <w:pStyle w:val="Policy-BodyText"/>
        <w:numPr>
          <w:ilvl w:val="1"/>
          <w:numId w:val="8"/>
        </w:numPr>
        <w:spacing w:before="120" w:after="120"/>
        <w:ind w:left="851" w:hanging="851"/>
        <w:contextualSpacing w:val="0"/>
        <w:rPr>
          <w:sz w:val="22"/>
          <w:szCs w:val="22"/>
        </w:rPr>
      </w:pPr>
      <w:r w:rsidRPr="5F5F58AF">
        <w:rPr>
          <w:sz w:val="22"/>
          <w:szCs w:val="22"/>
        </w:rPr>
        <w:t>Although sponsorship agreements may provide exposure of the sponsor’s corporate logo or name, the written agreement must not endorse or recommend any product or service.</w:t>
      </w:r>
    </w:p>
    <w:p w14:paraId="392A4C8E" w14:textId="2A485CF6" w:rsidR="00A7573C" w:rsidRDefault="00585AB9" w:rsidP="002B2159">
      <w:pPr>
        <w:pStyle w:val="Policy-BodyText"/>
        <w:numPr>
          <w:ilvl w:val="1"/>
          <w:numId w:val="8"/>
        </w:numPr>
        <w:spacing w:before="120" w:after="120"/>
        <w:ind w:left="851" w:hanging="851"/>
        <w:contextualSpacing w:val="0"/>
        <w:rPr>
          <w:sz w:val="22"/>
          <w:szCs w:val="22"/>
        </w:rPr>
      </w:pPr>
      <w:r w:rsidRPr="5F5F58AF">
        <w:rPr>
          <w:sz w:val="22"/>
          <w:szCs w:val="22"/>
        </w:rPr>
        <w:t xml:space="preserve">Attached to this procedure are </w:t>
      </w:r>
      <w:r w:rsidRPr="00E52BA5">
        <w:rPr>
          <w:sz w:val="22"/>
          <w:szCs w:val="22"/>
        </w:rPr>
        <w:t>Agreement</w:t>
      </w:r>
      <w:r w:rsidRPr="5F5F58AF">
        <w:rPr>
          <w:sz w:val="22"/>
          <w:szCs w:val="22"/>
        </w:rPr>
        <w:t xml:space="preserve"> examples, further assistance</w:t>
      </w:r>
      <w:r w:rsidR="00CC4917" w:rsidRPr="5F5F58AF">
        <w:rPr>
          <w:sz w:val="22"/>
          <w:szCs w:val="22"/>
        </w:rPr>
        <w:t xml:space="preserve"> </w:t>
      </w:r>
      <w:r w:rsidRPr="5F5F58AF">
        <w:rPr>
          <w:sz w:val="22"/>
          <w:szCs w:val="22"/>
        </w:rPr>
        <w:t xml:space="preserve">can be sought from </w:t>
      </w:r>
      <w:r w:rsidR="00CC4917" w:rsidRPr="5F5F58AF">
        <w:rPr>
          <w:sz w:val="22"/>
          <w:szCs w:val="22"/>
        </w:rPr>
        <w:t>the Executive Officer, Industry Engagement and Strategic Relations.</w:t>
      </w:r>
    </w:p>
    <w:p w14:paraId="26C7AD3E" w14:textId="77777777" w:rsidR="00A7573C" w:rsidRPr="006318D0" w:rsidRDefault="00A7573C" w:rsidP="002B2159">
      <w:pPr>
        <w:pStyle w:val="Heading2"/>
        <w:numPr>
          <w:ilvl w:val="0"/>
          <w:numId w:val="8"/>
        </w:numPr>
        <w:ind w:left="851" w:hanging="851"/>
      </w:pPr>
      <w:r>
        <w:t>Acknowledgement</w:t>
      </w:r>
    </w:p>
    <w:p w14:paraId="554DEC34" w14:textId="77777777" w:rsidR="00A7573C" w:rsidRDefault="00A7573C" w:rsidP="002B2159">
      <w:pPr>
        <w:pStyle w:val="Policy-BodyText"/>
        <w:numPr>
          <w:ilvl w:val="1"/>
          <w:numId w:val="8"/>
        </w:numPr>
        <w:spacing w:before="120" w:after="120"/>
        <w:ind w:left="851" w:hanging="851"/>
        <w:contextualSpacing w:val="0"/>
        <w:rPr>
          <w:sz w:val="22"/>
          <w:szCs w:val="22"/>
        </w:rPr>
      </w:pPr>
      <w:r w:rsidRPr="5F5F58AF">
        <w:rPr>
          <w:sz w:val="22"/>
          <w:szCs w:val="22"/>
        </w:rPr>
        <w:t>The extent of acknowledgement should reflect the level of sponsorship and be consistent with the standards and values of CIT and the ACT Government.</w:t>
      </w:r>
    </w:p>
    <w:p w14:paraId="296B6813" w14:textId="3E7865DD" w:rsidR="00A7573C" w:rsidRDefault="00A7573C" w:rsidP="002B2159">
      <w:pPr>
        <w:pStyle w:val="Policy-BodyText"/>
        <w:numPr>
          <w:ilvl w:val="1"/>
          <w:numId w:val="8"/>
        </w:numPr>
        <w:spacing w:before="120" w:after="120"/>
        <w:ind w:left="851" w:hanging="851"/>
        <w:contextualSpacing w:val="0"/>
        <w:rPr>
          <w:sz w:val="22"/>
          <w:szCs w:val="22"/>
        </w:rPr>
      </w:pPr>
      <w:r w:rsidRPr="5F5F58AF">
        <w:rPr>
          <w:sz w:val="22"/>
          <w:szCs w:val="22"/>
        </w:rPr>
        <w:t>C</w:t>
      </w:r>
      <w:r w:rsidR="01C3C070" w:rsidRPr="5F5F58AF">
        <w:rPr>
          <w:sz w:val="22"/>
          <w:szCs w:val="22"/>
        </w:rPr>
        <w:t>I</w:t>
      </w:r>
      <w:r w:rsidRPr="5F5F58AF">
        <w:rPr>
          <w:sz w:val="22"/>
          <w:szCs w:val="22"/>
        </w:rPr>
        <w:t>T’s name, official letterhead and buildings should not incorporate the names or logos of sponsors and should not be used to advertise sponsor’s products.</w:t>
      </w:r>
    </w:p>
    <w:p w14:paraId="18846AEF" w14:textId="77777777" w:rsidR="00A7573C" w:rsidRDefault="00A7573C" w:rsidP="002B2159">
      <w:pPr>
        <w:pStyle w:val="Policy-BodyText"/>
        <w:numPr>
          <w:ilvl w:val="1"/>
          <w:numId w:val="8"/>
        </w:numPr>
        <w:spacing w:before="120" w:after="120"/>
        <w:ind w:left="851" w:hanging="851"/>
        <w:contextualSpacing w:val="0"/>
        <w:rPr>
          <w:sz w:val="22"/>
          <w:szCs w:val="22"/>
        </w:rPr>
      </w:pPr>
      <w:r w:rsidRPr="5F5F58AF">
        <w:rPr>
          <w:sz w:val="22"/>
          <w:szCs w:val="22"/>
        </w:rPr>
        <w:t>Suggested forms of acknowledgement are:</w:t>
      </w:r>
    </w:p>
    <w:p w14:paraId="2B0717FC" w14:textId="37500281" w:rsidR="00A7573C" w:rsidRPr="001474C9" w:rsidRDefault="00376935" w:rsidP="002B2159">
      <w:pPr>
        <w:pStyle w:val="ListParagraph"/>
        <w:numPr>
          <w:ilvl w:val="0"/>
          <w:numId w:val="11"/>
        </w:numPr>
        <w:tabs>
          <w:tab w:val="left" w:pos="1418"/>
        </w:tabs>
        <w:overflowPunct w:val="0"/>
        <w:autoSpaceDE w:val="0"/>
        <w:autoSpaceDN w:val="0"/>
        <w:adjustRightInd w:val="0"/>
        <w:spacing w:before="120" w:after="120"/>
        <w:ind w:left="1418" w:hanging="567"/>
        <w:contextualSpacing w:val="0"/>
      </w:pPr>
      <w:r w:rsidRPr="5F5F58AF">
        <w:t>p</w:t>
      </w:r>
      <w:r w:rsidR="00A7573C" w:rsidRPr="5F5F58AF">
        <w:t>lacement of a plaque, signs or banners at events or in an associated colleges or departments foyer or notice at CIT acknowledging the support</w:t>
      </w:r>
      <w:r w:rsidR="005A5E09">
        <w:t>;</w:t>
      </w:r>
    </w:p>
    <w:p w14:paraId="4A2FEB20" w14:textId="137CF239" w:rsidR="00A7573C" w:rsidRPr="001474C9" w:rsidRDefault="00A7573C" w:rsidP="002B2159">
      <w:pPr>
        <w:pStyle w:val="ListParagraph"/>
        <w:numPr>
          <w:ilvl w:val="0"/>
          <w:numId w:val="11"/>
        </w:numPr>
        <w:tabs>
          <w:tab w:val="left" w:pos="1418"/>
        </w:tabs>
        <w:overflowPunct w:val="0"/>
        <w:autoSpaceDE w:val="0"/>
        <w:autoSpaceDN w:val="0"/>
        <w:adjustRightInd w:val="0"/>
        <w:spacing w:before="120" w:after="120"/>
        <w:ind w:left="1418" w:hanging="567"/>
        <w:contextualSpacing w:val="0"/>
      </w:pPr>
      <w:r w:rsidRPr="5F5F58AF">
        <w:t>joint media or promotional opportunities</w:t>
      </w:r>
      <w:r w:rsidR="005A5E09">
        <w:t>;</w:t>
      </w:r>
    </w:p>
    <w:p w14:paraId="2B5BF687" w14:textId="3B6522A4" w:rsidR="00A7573C" w:rsidRPr="001474C9" w:rsidRDefault="00A7573C" w:rsidP="002B2159">
      <w:pPr>
        <w:pStyle w:val="ListParagraph"/>
        <w:numPr>
          <w:ilvl w:val="0"/>
          <w:numId w:val="11"/>
        </w:numPr>
        <w:tabs>
          <w:tab w:val="left" w:pos="1418"/>
        </w:tabs>
        <w:overflowPunct w:val="0"/>
        <w:autoSpaceDE w:val="0"/>
        <w:autoSpaceDN w:val="0"/>
        <w:adjustRightInd w:val="0"/>
        <w:spacing w:before="120" w:after="120"/>
        <w:ind w:left="1418" w:hanging="567"/>
        <w:contextualSpacing w:val="0"/>
      </w:pPr>
      <w:r w:rsidRPr="5F5F58AF">
        <w:t>inclusion of the sponsor’s name, logo in presentation slides or other information in leaflets, brochures, web pages, advertisements, or CIT’s newsletters</w:t>
      </w:r>
      <w:r w:rsidR="005A5E09">
        <w:t>;</w:t>
      </w:r>
    </w:p>
    <w:p w14:paraId="020D72F6" w14:textId="31EEAE51" w:rsidR="00A7573C" w:rsidRPr="001474C9" w:rsidRDefault="00A7573C" w:rsidP="002B2159">
      <w:pPr>
        <w:pStyle w:val="ListParagraph"/>
        <w:numPr>
          <w:ilvl w:val="0"/>
          <w:numId w:val="11"/>
        </w:numPr>
        <w:tabs>
          <w:tab w:val="left" w:pos="1418"/>
        </w:tabs>
        <w:overflowPunct w:val="0"/>
        <w:autoSpaceDE w:val="0"/>
        <w:autoSpaceDN w:val="0"/>
        <w:adjustRightInd w:val="0"/>
        <w:spacing w:before="120" w:after="120"/>
        <w:ind w:left="1418" w:hanging="567"/>
        <w:contextualSpacing w:val="0"/>
      </w:pPr>
      <w:r w:rsidRPr="5F5F58AF">
        <w:t>use of facilities, which may include hospitality, preferential seats, opportunity to speak or otherwise participate at a program, event or activity</w:t>
      </w:r>
      <w:r w:rsidR="005A5E09">
        <w:t>;</w:t>
      </w:r>
    </w:p>
    <w:p w14:paraId="58FFF9A5" w14:textId="2CA230DE" w:rsidR="00A7573C" w:rsidRPr="001474C9" w:rsidRDefault="00A7573C" w:rsidP="002B2159">
      <w:pPr>
        <w:pStyle w:val="ListParagraph"/>
        <w:numPr>
          <w:ilvl w:val="0"/>
          <w:numId w:val="11"/>
        </w:numPr>
        <w:tabs>
          <w:tab w:val="left" w:pos="1418"/>
        </w:tabs>
        <w:overflowPunct w:val="0"/>
        <w:autoSpaceDE w:val="0"/>
        <w:autoSpaceDN w:val="0"/>
        <w:adjustRightInd w:val="0"/>
        <w:spacing w:before="120" w:after="120"/>
        <w:ind w:left="1418" w:hanging="567"/>
        <w:contextualSpacing w:val="0"/>
      </w:pPr>
      <w:r w:rsidRPr="5F5F58AF">
        <w:t>verbal acknowledgement by the master of ceremonies or other speakers at events</w:t>
      </w:r>
      <w:r w:rsidR="005A5E09">
        <w:t>;</w:t>
      </w:r>
    </w:p>
    <w:p w14:paraId="6F190436" w14:textId="5C9AFE06" w:rsidR="00A7573C" w:rsidRPr="001474C9" w:rsidRDefault="00A7573C" w:rsidP="002B2159">
      <w:pPr>
        <w:pStyle w:val="ListParagraph"/>
        <w:numPr>
          <w:ilvl w:val="0"/>
          <w:numId w:val="11"/>
        </w:numPr>
        <w:tabs>
          <w:tab w:val="left" w:pos="1418"/>
        </w:tabs>
        <w:overflowPunct w:val="0"/>
        <w:autoSpaceDE w:val="0"/>
        <w:autoSpaceDN w:val="0"/>
        <w:adjustRightInd w:val="0"/>
        <w:spacing w:before="120" w:after="120"/>
        <w:ind w:left="1418" w:hanging="567"/>
        <w:contextualSpacing w:val="0"/>
      </w:pPr>
      <w:r w:rsidRPr="5F5F58AF">
        <w:lastRenderedPageBreak/>
        <w:t>temporary reciprocal website links between sponsor and CIT’s web pages</w:t>
      </w:r>
      <w:r w:rsidR="005A5E09">
        <w:t>; and</w:t>
      </w:r>
    </w:p>
    <w:p w14:paraId="2DC37139" w14:textId="77777777" w:rsidR="00A7573C" w:rsidRDefault="00A7573C" w:rsidP="002B2159">
      <w:pPr>
        <w:pStyle w:val="ListParagraph"/>
        <w:numPr>
          <w:ilvl w:val="0"/>
          <w:numId w:val="11"/>
        </w:numPr>
        <w:tabs>
          <w:tab w:val="left" w:pos="1418"/>
        </w:tabs>
        <w:overflowPunct w:val="0"/>
        <w:autoSpaceDE w:val="0"/>
        <w:autoSpaceDN w:val="0"/>
        <w:adjustRightInd w:val="0"/>
        <w:spacing w:before="120" w:after="120"/>
        <w:ind w:left="1418" w:hanging="567"/>
        <w:contextualSpacing w:val="0"/>
      </w:pPr>
      <w:r w:rsidRPr="5F5F58AF">
        <w:t>defined limited use of CIT’s logo by the sponsor.</w:t>
      </w:r>
    </w:p>
    <w:p w14:paraId="3DDB56DF" w14:textId="77777777" w:rsidR="00A7573C" w:rsidRDefault="00A7573C" w:rsidP="008D3325">
      <w:pPr>
        <w:pStyle w:val="Policy-BodyText"/>
        <w:numPr>
          <w:ilvl w:val="1"/>
          <w:numId w:val="8"/>
        </w:numPr>
        <w:spacing w:before="120" w:after="120"/>
        <w:ind w:left="851" w:hanging="851"/>
        <w:contextualSpacing w:val="0"/>
        <w:rPr>
          <w:sz w:val="22"/>
          <w:szCs w:val="22"/>
        </w:rPr>
      </w:pPr>
      <w:r w:rsidRPr="5F5F58AF">
        <w:rPr>
          <w:sz w:val="22"/>
          <w:szCs w:val="22"/>
        </w:rPr>
        <w:t>CIT’s logo must be prominently displayed in conjunction with any sponsor’s name, logo, trademark or symbol used at an activity on any printed matter or on clothing. CIT’s logo shall be at least the same size as the sponsor’s logo.</w:t>
      </w:r>
    </w:p>
    <w:p w14:paraId="037DCEB9" w14:textId="2299A42F" w:rsidR="000B662E" w:rsidRDefault="00A7573C" w:rsidP="002B2159">
      <w:pPr>
        <w:pStyle w:val="Heading2"/>
        <w:numPr>
          <w:ilvl w:val="0"/>
          <w:numId w:val="8"/>
        </w:numPr>
        <w:ind w:left="851" w:hanging="851"/>
      </w:pPr>
      <w:r>
        <w:t>Financial accountability</w:t>
      </w:r>
    </w:p>
    <w:p w14:paraId="7FF81AB6" w14:textId="6B70B205" w:rsidR="264B2035" w:rsidRPr="00E52BA5" w:rsidRDefault="264B2035" w:rsidP="002B2159">
      <w:pPr>
        <w:pStyle w:val="Policy-BodyText"/>
        <w:numPr>
          <w:ilvl w:val="1"/>
          <w:numId w:val="8"/>
        </w:numPr>
        <w:spacing w:before="120" w:after="120"/>
        <w:ind w:left="851" w:hanging="851"/>
        <w:contextualSpacing w:val="0"/>
        <w:rPr>
          <w:sz w:val="22"/>
          <w:szCs w:val="22"/>
        </w:rPr>
      </w:pPr>
      <w:r w:rsidRPr="5F5F58AF">
        <w:rPr>
          <w:sz w:val="22"/>
          <w:szCs w:val="22"/>
        </w:rPr>
        <w:t xml:space="preserve">Prior to contract execution </w:t>
      </w:r>
      <w:r w:rsidR="55110511" w:rsidRPr="5F5F58AF">
        <w:rPr>
          <w:sz w:val="22"/>
          <w:szCs w:val="22"/>
        </w:rPr>
        <w:t>the</w:t>
      </w:r>
      <w:r w:rsidR="11255468" w:rsidRPr="5F5F58AF">
        <w:rPr>
          <w:sz w:val="22"/>
          <w:szCs w:val="22"/>
        </w:rPr>
        <w:t xml:space="preserve"> sponsorship</w:t>
      </w:r>
      <w:r w:rsidR="17300B81" w:rsidRPr="5F5F58AF">
        <w:rPr>
          <w:sz w:val="22"/>
          <w:szCs w:val="22"/>
        </w:rPr>
        <w:t xml:space="preserve"> arrangement must</w:t>
      </w:r>
      <w:r w:rsidR="11255468" w:rsidRPr="5F5F58AF">
        <w:rPr>
          <w:sz w:val="22"/>
          <w:szCs w:val="22"/>
        </w:rPr>
        <w:t xml:space="preserve"> be discussed with the relevant</w:t>
      </w:r>
      <w:r w:rsidR="55110511" w:rsidRPr="5F5F58AF">
        <w:rPr>
          <w:sz w:val="22"/>
          <w:szCs w:val="22"/>
        </w:rPr>
        <w:t xml:space="preserve"> </w:t>
      </w:r>
      <w:r w:rsidR="46A73E83" w:rsidRPr="5F5F58AF">
        <w:rPr>
          <w:sz w:val="22"/>
          <w:szCs w:val="22"/>
        </w:rPr>
        <w:t xml:space="preserve">CIT </w:t>
      </w:r>
      <w:r w:rsidRPr="5F5F58AF">
        <w:rPr>
          <w:sz w:val="22"/>
          <w:szCs w:val="22"/>
        </w:rPr>
        <w:t>Business Support Manager</w:t>
      </w:r>
      <w:r w:rsidR="4DE83E52" w:rsidRPr="5F5F58AF">
        <w:rPr>
          <w:sz w:val="22"/>
          <w:szCs w:val="22"/>
        </w:rPr>
        <w:t>.</w:t>
      </w:r>
    </w:p>
    <w:p w14:paraId="0C704B27" w14:textId="77777777" w:rsidR="00A7573C" w:rsidRDefault="00A7573C" w:rsidP="002B2159">
      <w:pPr>
        <w:pStyle w:val="Heading2"/>
        <w:numPr>
          <w:ilvl w:val="0"/>
          <w:numId w:val="8"/>
        </w:numPr>
        <w:ind w:left="851" w:hanging="851"/>
      </w:pPr>
      <w:r>
        <w:t>Monitoring and reporting</w:t>
      </w:r>
    </w:p>
    <w:p w14:paraId="4AFFD6A2" w14:textId="482E948D" w:rsidR="00A7573C" w:rsidRPr="009B295A" w:rsidRDefault="009B295A" w:rsidP="002B2159">
      <w:pPr>
        <w:pStyle w:val="Policy-BodyText"/>
        <w:numPr>
          <w:ilvl w:val="1"/>
          <w:numId w:val="8"/>
        </w:numPr>
        <w:spacing w:before="120" w:after="120"/>
        <w:ind w:left="851" w:hanging="851"/>
        <w:contextualSpacing w:val="0"/>
        <w:rPr>
          <w:sz w:val="22"/>
          <w:szCs w:val="22"/>
        </w:rPr>
      </w:pPr>
      <w:r w:rsidRPr="5F5F58AF">
        <w:rPr>
          <w:sz w:val="22"/>
          <w:szCs w:val="22"/>
        </w:rPr>
        <w:t xml:space="preserve">CIT departments, colleges, divisions that </w:t>
      </w:r>
      <w:r w:rsidR="6DA71D96" w:rsidRPr="5F5F58AF">
        <w:rPr>
          <w:sz w:val="22"/>
          <w:szCs w:val="22"/>
        </w:rPr>
        <w:t>enter</w:t>
      </w:r>
      <w:r w:rsidRPr="5F5F58AF">
        <w:rPr>
          <w:sz w:val="22"/>
          <w:szCs w:val="22"/>
        </w:rPr>
        <w:t xml:space="preserve"> sponsorship arrangements are required to</w:t>
      </w:r>
      <w:r w:rsidR="00A7573C" w:rsidRPr="5F5F58AF">
        <w:rPr>
          <w:sz w:val="22"/>
          <w:szCs w:val="22"/>
        </w:rPr>
        <w:t>:</w:t>
      </w:r>
    </w:p>
    <w:p w14:paraId="53D9D8EC" w14:textId="31E298C4" w:rsidR="00A7573C" w:rsidRDefault="00A7573C" w:rsidP="002B2159">
      <w:pPr>
        <w:pStyle w:val="ListParagraph"/>
        <w:numPr>
          <w:ilvl w:val="0"/>
          <w:numId w:val="11"/>
        </w:numPr>
        <w:tabs>
          <w:tab w:val="left" w:pos="1418"/>
        </w:tabs>
        <w:overflowPunct w:val="0"/>
        <w:autoSpaceDE w:val="0"/>
        <w:autoSpaceDN w:val="0"/>
        <w:adjustRightInd w:val="0"/>
        <w:spacing w:before="120" w:after="120"/>
        <w:ind w:left="1418" w:hanging="567"/>
        <w:contextualSpacing w:val="0"/>
      </w:pPr>
      <w:r w:rsidRPr="5F5F58AF">
        <w:t xml:space="preserve">maintain copies of </w:t>
      </w:r>
      <w:r w:rsidR="239CC12B" w:rsidRPr="5F5F58AF">
        <w:t xml:space="preserve">the </w:t>
      </w:r>
      <w:r w:rsidRPr="5F5F58AF">
        <w:t>sponsorship agreements</w:t>
      </w:r>
      <w:r w:rsidR="00CF7D46">
        <w:t>;</w:t>
      </w:r>
      <w:r w:rsidR="009B295A" w:rsidRPr="5F5F58AF">
        <w:t xml:space="preserve"> </w:t>
      </w:r>
    </w:p>
    <w:p w14:paraId="605098BA" w14:textId="00353CF3" w:rsidR="00CF7D46" w:rsidRDefault="00774167" w:rsidP="000B4010">
      <w:pPr>
        <w:pStyle w:val="ListParagraph"/>
        <w:numPr>
          <w:ilvl w:val="0"/>
          <w:numId w:val="11"/>
        </w:numPr>
        <w:tabs>
          <w:tab w:val="left" w:pos="1418"/>
        </w:tabs>
        <w:overflowPunct w:val="0"/>
        <w:autoSpaceDE w:val="0"/>
        <w:autoSpaceDN w:val="0"/>
        <w:adjustRightInd w:val="0"/>
        <w:spacing w:before="120" w:after="120"/>
        <w:ind w:left="1418" w:hanging="567"/>
        <w:contextualSpacing w:val="0"/>
      </w:pPr>
      <w:r w:rsidRPr="5F5F58AF">
        <w:t>monitor and report to Directors</w:t>
      </w:r>
      <w:r w:rsidR="00D67F21">
        <w:t xml:space="preserve"> and</w:t>
      </w:r>
      <w:r w:rsidRPr="5F5F58AF">
        <w:t xml:space="preserve"> </w:t>
      </w:r>
      <w:r w:rsidR="009A57B5">
        <w:t xml:space="preserve">the </w:t>
      </w:r>
      <w:bookmarkStart w:id="2" w:name="_GoBack"/>
      <w:bookmarkEnd w:id="2"/>
      <w:r w:rsidRPr="5F5F58AF">
        <w:t>Executive Management Committee</w:t>
      </w:r>
      <w:r w:rsidR="002B2B9E">
        <w:t xml:space="preserve"> as required;</w:t>
      </w:r>
    </w:p>
    <w:p w14:paraId="6763A7EE" w14:textId="0F6971F4" w:rsidR="00A7573C" w:rsidRDefault="00A7573C" w:rsidP="000B4010">
      <w:pPr>
        <w:pStyle w:val="ListParagraph"/>
        <w:numPr>
          <w:ilvl w:val="0"/>
          <w:numId w:val="11"/>
        </w:numPr>
        <w:tabs>
          <w:tab w:val="left" w:pos="1418"/>
        </w:tabs>
        <w:overflowPunct w:val="0"/>
        <w:autoSpaceDE w:val="0"/>
        <w:autoSpaceDN w:val="0"/>
        <w:adjustRightInd w:val="0"/>
        <w:spacing w:before="120" w:after="120"/>
        <w:ind w:left="1418" w:hanging="567"/>
        <w:contextualSpacing w:val="0"/>
      </w:pPr>
      <w:r w:rsidRPr="5F5F58AF">
        <w:t>a</w:t>
      </w:r>
      <w:r w:rsidR="009B295A" w:rsidRPr="5F5F58AF">
        <w:t>dvise the Director of</w:t>
      </w:r>
      <w:r w:rsidRPr="5F5F58AF">
        <w:t xml:space="preserve"> all sponsorships at the outset of formal negotiations</w:t>
      </w:r>
      <w:r w:rsidR="00CF7D46">
        <w:t>;</w:t>
      </w:r>
    </w:p>
    <w:p w14:paraId="752E3943" w14:textId="41937D06" w:rsidR="009B295A" w:rsidRDefault="00A7573C" w:rsidP="002B2159">
      <w:pPr>
        <w:pStyle w:val="ListParagraph"/>
        <w:numPr>
          <w:ilvl w:val="0"/>
          <w:numId w:val="11"/>
        </w:numPr>
        <w:tabs>
          <w:tab w:val="left" w:pos="1418"/>
        </w:tabs>
        <w:overflowPunct w:val="0"/>
        <w:autoSpaceDE w:val="0"/>
        <w:autoSpaceDN w:val="0"/>
        <w:adjustRightInd w:val="0"/>
        <w:spacing w:before="120" w:after="120"/>
        <w:ind w:left="1418" w:hanging="567"/>
        <w:contextualSpacing w:val="0"/>
      </w:pPr>
      <w:r w:rsidRPr="5F5F58AF">
        <w:t xml:space="preserve">provide the </w:t>
      </w:r>
      <w:r w:rsidR="009B295A" w:rsidRPr="5F5F58AF">
        <w:t xml:space="preserve">Director </w:t>
      </w:r>
      <w:r w:rsidRPr="5F5F58AF">
        <w:t xml:space="preserve">with details of sponsorship income and expenditure and how the sponsorship benefited </w:t>
      </w:r>
      <w:r w:rsidR="009B295A" w:rsidRPr="5F5F58AF">
        <w:t>CIT</w:t>
      </w:r>
      <w:r w:rsidR="00CF7D46">
        <w:t>;</w:t>
      </w:r>
    </w:p>
    <w:p w14:paraId="0957BD73" w14:textId="523025A5" w:rsidR="00A7573C" w:rsidRDefault="009B295A" w:rsidP="002B2159">
      <w:pPr>
        <w:pStyle w:val="ListParagraph"/>
        <w:numPr>
          <w:ilvl w:val="0"/>
          <w:numId w:val="11"/>
        </w:numPr>
        <w:tabs>
          <w:tab w:val="left" w:pos="1418"/>
        </w:tabs>
        <w:overflowPunct w:val="0"/>
        <w:autoSpaceDE w:val="0"/>
        <w:autoSpaceDN w:val="0"/>
        <w:adjustRightInd w:val="0"/>
        <w:spacing w:before="120" w:after="120"/>
        <w:ind w:left="1418" w:hanging="567"/>
        <w:contextualSpacing w:val="0"/>
      </w:pPr>
      <w:r w:rsidRPr="5F5F58AF">
        <w:t xml:space="preserve">monitor adherence to the principles and mandatory procedures of </w:t>
      </w:r>
      <w:r w:rsidR="003616CA" w:rsidRPr="5F5F58AF">
        <w:t>the</w:t>
      </w:r>
      <w:r w:rsidRPr="5F5F58AF">
        <w:t xml:space="preserve"> policy</w:t>
      </w:r>
      <w:r w:rsidR="00CF7D46">
        <w:t>;</w:t>
      </w:r>
    </w:p>
    <w:p w14:paraId="060B8CDE" w14:textId="1C211C4F" w:rsidR="00A7573C" w:rsidRPr="00F044AE" w:rsidRDefault="00A7573C" w:rsidP="002B2159">
      <w:pPr>
        <w:pStyle w:val="ListParagraph"/>
        <w:numPr>
          <w:ilvl w:val="0"/>
          <w:numId w:val="11"/>
        </w:numPr>
        <w:tabs>
          <w:tab w:val="left" w:pos="1418"/>
        </w:tabs>
        <w:overflowPunct w:val="0"/>
        <w:autoSpaceDE w:val="0"/>
        <w:autoSpaceDN w:val="0"/>
        <w:adjustRightInd w:val="0"/>
        <w:spacing w:before="120" w:after="120"/>
        <w:ind w:left="1418" w:hanging="567"/>
        <w:contextualSpacing w:val="0"/>
      </w:pPr>
      <w:r w:rsidRPr="5F5F58AF">
        <w:t xml:space="preserve">ensure details of sponsorship income and expenditure are provided to the </w:t>
      </w:r>
      <w:r w:rsidR="00F044AE" w:rsidRPr="5F5F58AF">
        <w:t xml:space="preserve">Director </w:t>
      </w:r>
      <w:r w:rsidR="00774167" w:rsidRPr="5F5F58AF">
        <w:t>for reporting purposes</w:t>
      </w:r>
      <w:r w:rsidR="00CF7D46">
        <w:t>;</w:t>
      </w:r>
    </w:p>
    <w:p w14:paraId="0427DAF2" w14:textId="07DED794" w:rsidR="00A7573C" w:rsidRDefault="00A7573C" w:rsidP="002B2159">
      <w:pPr>
        <w:pStyle w:val="ListParagraph"/>
        <w:numPr>
          <w:ilvl w:val="0"/>
          <w:numId w:val="11"/>
        </w:numPr>
        <w:tabs>
          <w:tab w:val="left" w:pos="1418"/>
        </w:tabs>
        <w:overflowPunct w:val="0"/>
        <w:autoSpaceDE w:val="0"/>
        <w:autoSpaceDN w:val="0"/>
        <w:adjustRightInd w:val="0"/>
        <w:spacing w:before="120" w:after="120"/>
        <w:ind w:left="1418" w:hanging="567"/>
        <w:contextualSpacing w:val="0"/>
      </w:pPr>
      <w:r w:rsidRPr="5F5F58AF">
        <w:t>advise and s</w:t>
      </w:r>
      <w:r w:rsidR="009B295A" w:rsidRPr="5F5F58AF">
        <w:t>eek Director</w:t>
      </w:r>
      <w:r w:rsidR="005E6295" w:rsidRPr="5F5F58AF">
        <w:t xml:space="preserve"> (or above)</w:t>
      </w:r>
      <w:r w:rsidR="009B295A" w:rsidRPr="5F5F58AF">
        <w:t xml:space="preserve"> </w:t>
      </w:r>
      <w:r w:rsidRPr="5F5F58AF">
        <w:t>approval for sponsorship negotiation and agreement</w:t>
      </w:r>
      <w:r w:rsidR="009B295A" w:rsidRPr="5F5F58AF">
        <w:t xml:space="preserve"> in line with the </w:t>
      </w:r>
      <w:r w:rsidR="009B295A" w:rsidRPr="002B2159">
        <w:t>CIT Financial Delegations</w:t>
      </w:r>
      <w:r w:rsidR="00CF7D46">
        <w:t>;</w:t>
      </w:r>
    </w:p>
    <w:p w14:paraId="08073588" w14:textId="42671170" w:rsidR="00A7573C" w:rsidRDefault="009B295A" w:rsidP="002B2159">
      <w:pPr>
        <w:pStyle w:val="ListParagraph"/>
        <w:numPr>
          <w:ilvl w:val="0"/>
          <w:numId w:val="11"/>
        </w:numPr>
        <w:tabs>
          <w:tab w:val="left" w:pos="1418"/>
        </w:tabs>
        <w:overflowPunct w:val="0"/>
        <w:autoSpaceDE w:val="0"/>
        <w:autoSpaceDN w:val="0"/>
        <w:adjustRightInd w:val="0"/>
        <w:spacing w:before="120" w:after="120"/>
        <w:ind w:left="1418" w:hanging="567"/>
        <w:contextualSpacing w:val="0"/>
      </w:pPr>
      <w:r w:rsidRPr="5F5F58AF">
        <w:t>Directors provide advice on and, at times, assist with negotiation for sponsorships</w:t>
      </w:r>
      <w:r w:rsidR="0014383F">
        <w:t>;</w:t>
      </w:r>
    </w:p>
    <w:p w14:paraId="5D552184" w14:textId="51A39C27" w:rsidR="00FD70B5" w:rsidRDefault="005E6295" w:rsidP="002B2159">
      <w:pPr>
        <w:pStyle w:val="ListParagraph"/>
        <w:numPr>
          <w:ilvl w:val="0"/>
          <w:numId w:val="11"/>
        </w:numPr>
        <w:tabs>
          <w:tab w:val="left" w:pos="1418"/>
        </w:tabs>
        <w:overflowPunct w:val="0"/>
        <w:autoSpaceDE w:val="0"/>
        <w:autoSpaceDN w:val="0"/>
        <w:adjustRightInd w:val="0"/>
        <w:spacing w:before="120" w:after="120"/>
        <w:ind w:left="1418" w:hanging="567"/>
        <w:contextualSpacing w:val="0"/>
      </w:pPr>
      <w:r w:rsidRPr="5F5F58AF">
        <w:t>make details available</w:t>
      </w:r>
      <w:r w:rsidR="00FD70B5" w:rsidRPr="5F5F58AF">
        <w:t xml:space="preserve"> </w:t>
      </w:r>
      <w:r w:rsidRPr="5F5F58AF">
        <w:t xml:space="preserve">of </w:t>
      </w:r>
      <w:r w:rsidR="00FD70B5" w:rsidRPr="5F5F58AF">
        <w:t xml:space="preserve">current sponsorship agreements </w:t>
      </w:r>
      <w:r w:rsidR="7A293630" w:rsidRPr="5F5F58AF">
        <w:t>entered</w:t>
      </w:r>
      <w:r w:rsidR="00FD70B5" w:rsidRPr="5F5F58AF">
        <w:t xml:space="preserve"> during that year </w:t>
      </w:r>
      <w:r w:rsidRPr="5F5F58AF">
        <w:t>for the</w:t>
      </w:r>
      <w:r w:rsidR="00FD70B5" w:rsidRPr="5F5F58AF">
        <w:t xml:space="preserve"> CIT’s annual report</w:t>
      </w:r>
      <w:r w:rsidR="0014383F">
        <w:t>; and</w:t>
      </w:r>
    </w:p>
    <w:p w14:paraId="179D5E0D" w14:textId="77777777" w:rsidR="00A7573C" w:rsidRDefault="00A7573C" w:rsidP="002B2159">
      <w:pPr>
        <w:pStyle w:val="Heading2"/>
        <w:numPr>
          <w:ilvl w:val="0"/>
          <w:numId w:val="8"/>
        </w:numPr>
        <w:ind w:left="851" w:hanging="851"/>
      </w:pPr>
      <w:bookmarkStart w:id="3" w:name="_Toc419889963"/>
      <w:bookmarkStart w:id="4" w:name="_Toc419889962"/>
      <w:r>
        <w:t>Contact</w:t>
      </w:r>
      <w:bookmarkEnd w:id="3"/>
    </w:p>
    <w:p w14:paraId="0B2DE2AE" w14:textId="77777777" w:rsidR="00F044AE" w:rsidRPr="00E52BA5" w:rsidRDefault="00A7573C" w:rsidP="002B2159">
      <w:pPr>
        <w:pStyle w:val="Policy-BodyText"/>
        <w:numPr>
          <w:ilvl w:val="1"/>
          <w:numId w:val="8"/>
        </w:numPr>
        <w:spacing w:before="120" w:after="120"/>
        <w:ind w:left="851" w:hanging="851"/>
        <w:contextualSpacing w:val="0"/>
        <w:rPr>
          <w:sz w:val="22"/>
          <w:szCs w:val="22"/>
        </w:rPr>
      </w:pPr>
      <w:r w:rsidRPr="5F5F58AF">
        <w:rPr>
          <w:sz w:val="22"/>
          <w:szCs w:val="22"/>
        </w:rPr>
        <w:t>The</w:t>
      </w:r>
      <w:r w:rsidR="00F044AE" w:rsidRPr="5F5F58AF">
        <w:rPr>
          <w:sz w:val="22"/>
          <w:szCs w:val="22"/>
        </w:rPr>
        <w:t xml:space="preserve"> </w:t>
      </w:r>
      <w:bookmarkStart w:id="5" w:name="_Hlk45698306"/>
      <w:r w:rsidR="00F044AE" w:rsidRPr="5F5F58AF">
        <w:rPr>
          <w:sz w:val="22"/>
          <w:szCs w:val="22"/>
        </w:rPr>
        <w:t>Executive</w:t>
      </w:r>
      <w:r w:rsidRPr="5F5F58AF">
        <w:rPr>
          <w:sz w:val="22"/>
          <w:szCs w:val="22"/>
        </w:rPr>
        <w:t xml:space="preserve"> Director, </w:t>
      </w:r>
      <w:r w:rsidR="00F044AE" w:rsidRPr="00E52BA5">
        <w:rPr>
          <w:sz w:val="22"/>
          <w:szCs w:val="22"/>
        </w:rPr>
        <w:t xml:space="preserve">Industry Engagement and Strategic Relations </w:t>
      </w:r>
      <w:bookmarkEnd w:id="5"/>
      <w:r w:rsidR="00F044AE" w:rsidRPr="00E52BA5">
        <w:rPr>
          <w:sz w:val="22"/>
          <w:szCs w:val="22"/>
        </w:rPr>
        <w:t>is responsible for this policy.</w:t>
      </w:r>
    </w:p>
    <w:p w14:paraId="7A5DEB66" w14:textId="187A9B3B" w:rsidR="00A7573C" w:rsidRPr="007B3DA1" w:rsidRDefault="00A7573C" w:rsidP="002B2159">
      <w:pPr>
        <w:pStyle w:val="Policy-BodyText"/>
        <w:numPr>
          <w:ilvl w:val="1"/>
          <w:numId w:val="8"/>
        </w:numPr>
        <w:spacing w:before="120" w:after="120"/>
        <w:ind w:left="851" w:hanging="851"/>
        <w:contextualSpacing w:val="0"/>
        <w:rPr>
          <w:sz w:val="22"/>
          <w:szCs w:val="22"/>
        </w:rPr>
      </w:pPr>
      <w:r w:rsidRPr="5F5F58AF">
        <w:rPr>
          <w:sz w:val="22"/>
          <w:szCs w:val="22"/>
        </w:rPr>
        <w:t>For support contact</w:t>
      </w:r>
      <w:r w:rsidR="701F452A" w:rsidRPr="5F5F58AF">
        <w:rPr>
          <w:sz w:val="22"/>
          <w:szCs w:val="22"/>
        </w:rPr>
        <w:t xml:space="preserve"> the</w:t>
      </w:r>
      <w:r w:rsidRPr="002B2159">
        <w:rPr>
          <w:sz w:val="22"/>
          <w:szCs w:val="22"/>
        </w:rPr>
        <w:t xml:space="preserve"> </w:t>
      </w:r>
      <w:r w:rsidR="00F044AE" w:rsidRPr="5F5F58AF">
        <w:rPr>
          <w:sz w:val="22"/>
          <w:szCs w:val="22"/>
        </w:rPr>
        <w:t>Executive Officer, Industry Engagement and Strategic Relations</w:t>
      </w:r>
    </w:p>
    <w:p w14:paraId="001C9F1F" w14:textId="77777777" w:rsidR="00A7573C" w:rsidRDefault="00A7573C" w:rsidP="002B2159">
      <w:pPr>
        <w:pStyle w:val="Heading2"/>
        <w:numPr>
          <w:ilvl w:val="0"/>
          <w:numId w:val="8"/>
        </w:numPr>
        <w:ind w:left="851" w:hanging="851"/>
      </w:pPr>
      <w:r>
        <w:t>Complaints</w:t>
      </w:r>
      <w:bookmarkEnd w:id="4"/>
    </w:p>
    <w:p w14:paraId="65110D80" w14:textId="77777777" w:rsidR="00A7573C" w:rsidRDefault="00A7573C" w:rsidP="002B2159">
      <w:pPr>
        <w:pStyle w:val="Policy-BodyText"/>
        <w:numPr>
          <w:ilvl w:val="1"/>
          <w:numId w:val="8"/>
        </w:numPr>
        <w:spacing w:before="120" w:after="120"/>
        <w:ind w:left="851" w:hanging="851"/>
        <w:contextualSpacing w:val="0"/>
        <w:rPr>
          <w:sz w:val="22"/>
          <w:szCs w:val="22"/>
        </w:rPr>
      </w:pPr>
      <w:r w:rsidRPr="5F5F58AF">
        <w:rPr>
          <w:sz w:val="22"/>
          <w:szCs w:val="22"/>
        </w:rPr>
        <w:t>Any concerns about the application of this procedure or the procedure itself, should be raised with:</w:t>
      </w:r>
    </w:p>
    <w:p w14:paraId="5A3FCBE7" w14:textId="77777777" w:rsidR="00A7573C" w:rsidRDefault="00F044AE" w:rsidP="002B2159">
      <w:pPr>
        <w:pStyle w:val="ListParagraph"/>
        <w:numPr>
          <w:ilvl w:val="0"/>
          <w:numId w:val="11"/>
        </w:numPr>
        <w:tabs>
          <w:tab w:val="left" w:pos="1418"/>
        </w:tabs>
        <w:overflowPunct w:val="0"/>
        <w:autoSpaceDE w:val="0"/>
        <w:autoSpaceDN w:val="0"/>
        <w:adjustRightInd w:val="0"/>
        <w:spacing w:before="120" w:after="120"/>
        <w:ind w:left="1418" w:hanging="567"/>
        <w:contextualSpacing w:val="0"/>
      </w:pPr>
      <w:r w:rsidRPr="5F5F58AF">
        <w:t xml:space="preserve">the Executive Director, </w:t>
      </w:r>
      <w:r w:rsidRPr="002B2159">
        <w:t>Industry Engagement and Strategic Relations</w:t>
      </w:r>
    </w:p>
    <w:p w14:paraId="5C7E546D" w14:textId="19AC12CD" w:rsidR="00A7573C" w:rsidRPr="002B2159" w:rsidRDefault="00A7573C" w:rsidP="002B2159">
      <w:pPr>
        <w:pStyle w:val="ListParagraph"/>
        <w:numPr>
          <w:ilvl w:val="0"/>
          <w:numId w:val="11"/>
        </w:numPr>
        <w:tabs>
          <w:tab w:val="left" w:pos="1418"/>
        </w:tabs>
        <w:overflowPunct w:val="0"/>
        <w:autoSpaceDE w:val="0"/>
        <w:autoSpaceDN w:val="0"/>
        <w:adjustRightInd w:val="0"/>
        <w:spacing w:before="120" w:after="120"/>
        <w:ind w:left="1418" w:hanging="567"/>
        <w:contextualSpacing w:val="0"/>
      </w:pPr>
      <w:r w:rsidRPr="5F5F58AF">
        <w:t xml:space="preserve">the </w:t>
      </w:r>
      <w:r w:rsidR="00F044AE" w:rsidRPr="002B2159">
        <w:t xml:space="preserve">Complaints Students and Community Members Policy </w:t>
      </w:r>
      <w:r w:rsidR="00F044AE" w:rsidRPr="5F5F58AF">
        <w:t xml:space="preserve">on CIT’s </w:t>
      </w:r>
      <w:r w:rsidRPr="5F5F58AF">
        <w:t>website.</w:t>
      </w:r>
    </w:p>
    <w:p w14:paraId="7579CEEF" w14:textId="77777777" w:rsidR="00A7573C" w:rsidRDefault="00A7573C" w:rsidP="002B2159">
      <w:pPr>
        <w:pStyle w:val="Heading2"/>
        <w:numPr>
          <w:ilvl w:val="0"/>
          <w:numId w:val="8"/>
        </w:numPr>
        <w:ind w:left="851" w:hanging="851"/>
      </w:pPr>
      <w:bookmarkStart w:id="6" w:name="_Toc419889964"/>
      <w:r>
        <w:lastRenderedPageBreak/>
        <w:t>References</w:t>
      </w:r>
      <w:bookmarkEnd w:id="6"/>
    </w:p>
    <w:p w14:paraId="5D0491E5" w14:textId="77777777" w:rsidR="00A7573C" w:rsidRPr="000B662E" w:rsidRDefault="00A7573C" w:rsidP="002B2159">
      <w:pPr>
        <w:pStyle w:val="Policy-BodyText"/>
        <w:numPr>
          <w:ilvl w:val="1"/>
          <w:numId w:val="8"/>
        </w:numPr>
        <w:spacing w:before="120" w:after="120"/>
        <w:ind w:left="851" w:hanging="851"/>
        <w:contextualSpacing w:val="0"/>
        <w:rPr>
          <w:sz w:val="22"/>
          <w:szCs w:val="22"/>
        </w:rPr>
      </w:pPr>
      <w:r w:rsidRPr="5F5F58AF">
        <w:rPr>
          <w:sz w:val="22"/>
          <w:szCs w:val="22"/>
        </w:rPr>
        <w:t>Definitions</w:t>
      </w:r>
    </w:p>
    <w:p w14:paraId="135DEDC3" w14:textId="6CCA6349" w:rsidR="00A7573C" w:rsidRPr="00E52BA5" w:rsidRDefault="00A7573C" w:rsidP="002B2159">
      <w:pPr>
        <w:pStyle w:val="Policy-BodyText"/>
        <w:numPr>
          <w:ilvl w:val="0"/>
          <w:numId w:val="0"/>
        </w:numPr>
        <w:spacing w:before="120" w:after="120"/>
        <w:ind w:left="851"/>
        <w:contextualSpacing w:val="0"/>
        <w:rPr>
          <w:sz w:val="22"/>
          <w:szCs w:val="22"/>
        </w:rPr>
      </w:pPr>
      <w:r w:rsidRPr="002B2159">
        <w:rPr>
          <w:b/>
          <w:bCs/>
          <w:sz w:val="22"/>
          <w:szCs w:val="22"/>
        </w:rPr>
        <w:t>Sponsorship</w:t>
      </w:r>
      <w:r w:rsidRPr="00E52BA5">
        <w:rPr>
          <w:sz w:val="22"/>
          <w:szCs w:val="22"/>
        </w:rPr>
        <w:t xml:space="preserve">: is the negotiated provision of funds, in kind support through the provision of goods or services to schools and central office units in exchange for advertising, publicity or other benefits. Sponsorship: </w:t>
      </w:r>
    </w:p>
    <w:p w14:paraId="15771714" w14:textId="003378C4" w:rsidR="00A7573C" w:rsidRPr="002B2159" w:rsidRDefault="00A7573C" w:rsidP="002B2159">
      <w:pPr>
        <w:pStyle w:val="ListParagraph"/>
        <w:numPr>
          <w:ilvl w:val="0"/>
          <w:numId w:val="11"/>
        </w:numPr>
        <w:tabs>
          <w:tab w:val="left" w:pos="1418"/>
        </w:tabs>
        <w:overflowPunct w:val="0"/>
        <w:autoSpaceDE w:val="0"/>
        <w:autoSpaceDN w:val="0"/>
        <w:adjustRightInd w:val="0"/>
        <w:spacing w:before="120" w:after="120"/>
        <w:ind w:left="1418" w:hanging="567"/>
        <w:contextualSpacing w:val="0"/>
      </w:pPr>
      <w:r w:rsidRPr="002B2159">
        <w:t>may take the form of cash support and/or provision of material goods or other resources, such as labour or facilities, in exchange for agreed acknowledgment</w:t>
      </w:r>
    </w:p>
    <w:p w14:paraId="14BD0773" w14:textId="77777777" w:rsidR="00A7573C" w:rsidRPr="002B2159" w:rsidRDefault="00A7573C" w:rsidP="002B2159">
      <w:pPr>
        <w:pStyle w:val="ListParagraph"/>
        <w:numPr>
          <w:ilvl w:val="0"/>
          <w:numId w:val="11"/>
        </w:numPr>
        <w:tabs>
          <w:tab w:val="left" w:pos="1418"/>
        </w:tabs>
        <w:overflowPunct w:val="0"/>
        <w:autoSpaceDE w:val="0"/>
        <w:autoSpaceDN w:val="0"/>
        <w:adjustRightInd w:val="0"/>
        <w:spacing w:before="120" w:after="120"/>
        <w:ind w:left="1418" w:hanging="567"/>
        <w:contextualSpacing w:val="0"/>
      </w:pPr>
      <w:r w:rsidRPr="002B2159">
        <w:t xml:space="preserve">may be between one or more schools and/or central office units and one or more organisations; and </w:t>
      </w:r>
    </w:p>
    <w:p w14:paraId="32D38E8F" w14:textId="77777777" w:rsidR="00A7573C" w:rsidRPr="002B2159" w:rsidRDefault="00A7573C" w:rsidP="002B2159">
      <w:pPr>
        <w:pStyle w:val="ListParagraph"/>
        <w:numPr>
          <w:ilvl w:val="0"/>
          <w:numId w:val="11"/>
        </w:numPr>
        <w:tabs>
          <w:tab w:val="left" w:pos="1418"/>
        </w:tabs>
        <w:overflowPunct w:val="0"/>
        <w:autoSpaceDE w:val="0"/>
        <w:autoSpaceDN w:val="0"/>
        <w:adjustRightInd w:val="0"/>
        <w:spacing w:before="120" w:after="120"/>
        <w:ind w:left="1418" w:hanging="567"/>
        <w:contextualSpacing w:val="0"/>
      </w:pPr>
      <w:r w:rsidRPr="002B2159">
        <w:t xml:space="preserve">does not include direct commercial dealings between organisations and schools/central office units, simple donations of goods and services, or materials developed independently by organisations for use in schools/central office units. </w:t>
      </w:r>
    </w:p>
    <w:p w14:paraId="7910DE3C" w14:textId="77777777" w:rsidR="00A7573C" w:rsidRPr="00AF0B2A" w:rsidRDefault="00A7573C" w:rsidP="002B2159">
      <w:pPr>
        <w:pStyle w:val="Policy-BodyText"/>
        <w:numPr>
          <w:ilvl w:val="0"/>
          <w:numId w:val="0"/>
        </w:numPr>
        <w:spacing w:before="120" w:after="120"/>
        <w:ind w:left="851"/>
        <w:contextualSpacing w:val="0"/>
        <w:rPr>
          <w:sz w:val="22"/>
          <w:szCs w:val="22"/>
        </w:rPr>
      </w:pPr>
      <w:r w:rsidRPr="00AF0B2A">
        <w:rPr>
          <w:sz w:val="22"/>
          <w:szCs w:val="22"/>
        </w:rPr>
        <w:t>A</w:t>
      </w:r>
      <w:r w:rsidRPr="00E52BA5">
        <w:rPr>
          <w:b/>
          <w:bCs/>
          <w:sz w:val="22"/>
          <w:szCs w:val="22"/>
        </w:rPr>
        <w:t xml:space="preserve"> Sponsorship Agreement</w:t>
      </w:r>
      <w:r w:rsidRPr="00AF0B2A">
        <w:rPr>
          <w:sz w:val="22"/>
          <w:szCs w:val="22"/>
        </w:rPr>
        <w:t>: is a written document outlining the negotiated terms for a sponsorship. Agreements may be</w:t>
      </w:r>
    </w:p>
    <w:p w14:paraId="172A9F48" w14:textId="6CB5C7A0" w:rsidR="00A7573C" w:rsidRPr="000B662E" w:rsidRDefault="00A7573C" w:rsidP="5F5F58AF">
      <w:pPr>
        <w:pStyle w:val="PolicyHeading2-Accessible"/>
        <w:numPr>
          <w:ilvl w:val="0"/>
          <w:numId w:val="5"/>
        </w:numPr>
        <w:spacing w:after="120"/>
        <w:ind w:left="1418" w:hanging="567"/>
        <w:rPr>
          <w:rFonts w:asciiTheme="minorHAnsi" w:hAnsiTheme="minorHAnsi"/>
          <w:b w:val="0"/>
          <w:bCs w:val="0"/>
          <w:sz w:val="22"/>
        </w:rPr>
      </w:pPr>
      <w:r w:rsidRPr="5F5F58AF">
        <w:rPr>
          <w:rFonts w:asciiTheme="minorHAnsi" w:hAnsiTheme="minorHAnsi"/>
          <w:b w:val="0"/>
          <w:bCs w:val="0"/>
          <w:sz w:val="22"/>
        </w:rPr>
        <w:t>with a business or organisation</w:t>
      </w:r>
    </w:p>
    <w:p w14:paraId="592D4DD1" w14:textId="77777777" w:rsidR="00A7573C" w:rsidRPr="000B662E" w:rsidRDefault="00A7573C" w:rsidP="5F5F58AF">
      <w:pPr>
        <w:pStyle w:val="PolicyHeading2-Accessible"/>
        <w:numPr>
          <w:ilvl w:val="0"/>
          <w:numId w:val="5"/>
        </w:numPr>
        <w:spacing w:after="120"/>
        <w:ind w:left="1418" w:hanging="567"/>
        <w:rPr>
          <w:rFonts w:asciiTheme="minorHAnsi" w:hAnsiTheme="minorHAnsi"/>
          <w:b w:val="0"/>
          <w:bCs w:val="0"/>
          <w:sz w:val="22"/>
        </w:rPr>
      </w:pPr>
      <w:r w:rsidRPr="5F5F58AF">
        <w:rPr>
          <w:rFonts w:asciiTheme="minorHAnsi" w:hAnsiTheme="minorHAnsi"/>
          <w:b w:val="0"/>
          <w:bCs w:val="0"/>
          <w:sz w:val="22"/>
        </w:rPr>
        <w:t xml:space="preserve">the first step to, or the outcome of, links formed with business and other community organisations; or </w:t>
      </w:r>
    </w:p>
    <w:p w14:paraId="3A0F41C3" w14:textId="77777777" w:rsidR="00A7573C" w:rsidRPr="000B662E" w:rsidRDefault="00A7573C" w:rsidP="5F5F58AF">
      <w:pPr>
        <w:pStyle w:val="PolicyHeading2-Accessible"/>
        <w:numPr>
          <w:ilvl w:val="0"/>
          <w:numId w:val="5"/>
        </w:numPr>
        <w:spacing w:after="120"/>
        <w:ind w:left="1418" w:hanging="567"/>
        <w:rPr>
          <w:rFonts w:asciiTheme="minorHAnsi" w:hAnsiTheme="minorHAnsi"/>
          <w:b w:val="0"/>
          <w:bCs w:val="0"/>
          <w:sz w:val="22"/>
        </w:rPr>
      </w:pPr>
      <w:r w:rsidRPr="5F5F58AF">
        <w:rPr>
          <w:rFonts w:asciiTheme="minorHAnsi" w:hAnsiTheme="minorHAnsi"/>
          <w:b w:val="0"/>
          <w:bCs w:val="0"/>
          <w:sz w:val="22"/>
        </w:rPr>
        <w:t xml:space="preserve">part of, or an outcome of, a much wider relationship with the community. </w:t>
      </w:r>
    </w:p>
    <w:p w14:paraId="765AB2D3" w14:textId="34DAB6B9" w:rsidR="00A7573C" w:rsidRPr="002B2159" w:rsidRDefault="00CD2411" w:rsidP="002B2159">
      <w:pPr>
        <w:pStyle w:val="Policy-BodyText"/>
        <w:numPr>
          <w:ilvl w:val="0"/>
          <w:numId w:val="0"/>
        </w:numPr>
        <w:spacing w:before="120" w:after="120"/>
        <w:ind w:left="851"/>
        <w:contextualSpacing w:val="0"/>
        <w:rPr>
          <w:b/>
          <w:bCs/>
          <w:sz w:val="22"/>
          <w:szCs w:val="22"/>
        </w:rPr>
      </w:pPr>
      <w:r w:rsidRPr="00E52BA5">
        <w:rPr>
          <w:b/>
          <w:bCs/>
          <w:sz w:val="22"/>
          <w:szCs w:val="22"/>
        </w:rPr>
        <w:t xml:space="preserve">Sponsorship </w:t>
      </w:r>
      <w:r w:rsidR="00A7573C" w:rsidRPr="00E52BA5">
        <w:rPr>
          <w:b/>
          <w:bCs/>
          <w:sz w:val="22"/>
          <w:szCs w:val="22"/>
        </w:rPr>
        <w:t>Agreements</w:t>
      </w:r>
      <w:r w:rsidR="00A7573C" w:rsidRPr="002B2159">
        <w:rPr>
          <w:b/>
          <w:bCs/>
          <w:sz w:val="22"/>
          <w:szCs w:val="22"/>
        </w:rPr>
        <w:t xml:space="preserve"> </w:t>
      </w:r>
      <w:r w:rsidR="00A7573C" w:rsidRPr="00AF0B2A">
        <w:rPr>
          <w:sz w:val="22"/>
          <w:szCs w:val="22"/>
        </w:rPr>
        <w:t>may take the form of:</w:t>
      </w:r>
      <w:r w:rsidR="00A7573C" w:rsidRPr="002B2159">
        <w:rPr>
          <w:b/>
          <w:bCs/>
          <w:sz w:val="22"/>
          <w:szCs w:val="22"/>
        </w:rPr>
        <w:t xml:space="preserve"> </w:t>
      </w:r>
    </w:p>
    <w:p w14:paraId="108B3274" w14:textId="16B61505" w:rsidR="00A7573C" w:rsidRPr="000B662E" w:rsidRDefault="00A7573C" w:rsidP="5F5F58AF">
      <w:pPr>
        <w:pStyle w:val="PolicyHeading2-Accessible"/>
        <w:numPr>
          <w:ilvl w:val="0"/>
          <w:numId w:val="5"/>
        </w:numPr>
        <w:spacing w:after="120"/>
        <w:ind w:left="1418" w:hanging="567"/>
        <w:rPr>
          <w:rFonts w:asciiTheme="minorHAnsi" w:hAnsiTheme="minorHAnsi"/>
          <w:b w:val="0"/>
          <w:bCs w:val="0"/>
          <w:sz w:val="22"/>
        </w:rPr>
      </w:pPr>
      <w:r w:rsidRPr="5F5F58AF">
        <w:rPr>
          <w:rFonts w:asciiTheme="minorHAnsi" w:hAnsiTheme="minorHAnsi"/>
          <w:b w:val="0"/>
          <w:bCs w:val="0"/>
          <w:sz w:val="22"/>
        </w:rPr>
        <w:t>an exchange</w:t>
      </w:r>
      <w:r w:rsidR="00E538AB" w:rsidRPr="5F5F58AF">
        <w:rPr>
          <w:rFonts w:asciiTheme="minorHAnsi" w:hAnsiTheme="minorHAnsi"/>
          <w:b w:val="0"/>
          <w:bCs w:val="0"/>
          <w:sz w:val="22"/>
        </w:rPr>
        <w:t xml:space="preserve"> in </w:t>
      </w:r>
      <w:r w:rsidR="31C14446" w:rsidRPr="5F5F58AF">
        <w:rPr>
          <w:rFonts w:asciiTheme="minorHAnsi" w:hAnsiTheme="minorHAnsi"/>
          <w:b w:val="0"/>
          <w:bCs w:val="0"/>
          <w:sz w:val="22"/>
        </w:rPr>
        <w:t>writing</w:t>
      </w:r>
    </w:p>
    <w:p w14:paraId="471B51E6" w14:textId="4AEC762C" w:rsidR="00A7573C" w:rsidRPr="000B662E" w:rsidRDefault="00A7573C" w:rsidP="5F5F58AF">
      <w:pPr>
        <w:pStyle w:val="PolicyHeading2-Accessible"/>
        <w:numPr>
          <w:ilvl w:val="0"/>
          <w:numId w:val="5"/>
        </w:numPr>
        <w:spacing w:after="120"/>
        <w:ind w:left="1418" w:hanging="567"/>
        <w:rPr>
          <w:rFonts w:asciiTheme="minorHAnsi" w:hAnsiTheme="minorHAnsi"/>
          <w:b w:val="0"/>
          <w:bCs w:val="0"/>
          <w:sz w:val="22"/>
        </w:rPr>
      </w:pPr>
      <w:r w:rsidRPr="5F5F58AF">
        <w:rPr>
          <w:rFonts w:asciiTheme="minorHAnsi" w:hAnsiTheme="minorHAnsi"/>
          <w:b w:val="0"/>
          <w:bCs w:val="0"/>
          <w:sz w:val="22"/>
        </w:rPr>
        <w:t xml:space="preserve">the sample Sponsorship </w:t>
      </w:r>
      <w:r w:rsidR="00E15AAD" w:rsidRPr="5F5F58AF">
        <w:rPr>
          <w:rFonts w:asciiTheme="minorHAnsi" w:hAnsiTheme="minorHAnsi"/>
          <w:b w:val="0"/>
          <w:bCs w:val="0"/>
          <w:sz w:val="22"/>
        </w:rPr>
        <w:t xml:space="preserve">Letter </w:t>
      </w:r>
      <w:r w:rsidRPr="5F5F58AF">
        <w:rPr>
          <w:rFonts w:asciiTheme="minorHAnsi" w:hAnsiTheme="minorHAnsi"/>
          <w:b w:val="0"/>
          <w:bCs w:val="0"/>
          <w:sz w:val="22"/>
        </w:rPr>
        <w:t xml:space="preserve">(Attachment </w:t>
      </w:r>
      <w:r w:rsidR="007F370D" w:rsidRPr="5F5F58AF">
        <w:rPr>
          <w:rFonts w:asciiTheme="minorHAnsi" w:hAnsiTheme="minorHAnsi"/>
          <w:b w:val="0"/>
          <w:bCs w:val="0"/>
          <w:sz w:val="22"/>
        </w:rPr>
        <w:t>A</w:t>
      </w:r>
      <w:r w:rsidRPr="5F5F58AF">
        <w:rPr>
          <w:rFonts w:asciiTheme="minorHAnsi" w:hAnsiTheme="minorHAnsi"/>
          <w:b w:val="0"/>
          <w:bCs w:val="0"/>
          <w:sz w:val="22"/>
        </w:rPr>
        <w:t xml:space="preserve">); </w:t>
      </w:r>
      <w:r w:rsidR="00E538AB" w:rsidRPr="5F5F58AF">
        <w:rPr>
          <w:rFonts w:asciiTheme="minorHAnsi" w:hAnsiTheme="minorHAnsi"/>
          <w:b w:val="0"/>
          <w:bCs w:val="0"/>
          <w:sz w:val="22"/>
        </w:rPr>
        <w:t>or</w:t>
      </w:r>
    </w:p>
    <w:p w14:paraId="7E21C283" w14:textId="74D40D98" w:rsidR="00A7573C" w:rsidRPr="000B662E" w:rsidRDefault="00A7573C" w:rsidP="5F5F58AF">
      <w:pPr>
        <w:pStyle w:val="PolicyHeading2-Accessible"/>
        <w:numPr>
          <w:ilvl w:val="0"/>
          <w:numId w:val="5"/>
        </w:numPr>
        <w:spacing w:after="120"/>
        <w:ind w:left="1418" w:hanging="567"/>
        <w:rPr>
          <w:rFonts w:asciiTheme="minorHAnsi" w:hAnsiTheme="minorHAnsi"/>
          <w:b w:val="0"/>
          <w:bCs w:val="0"/>
          <w:sz w:val="22"/>
        </w:rPr>
      </w:pPr>
      <w:r w:rsidRPr="5F5F58AF">
        <w:rPr>
          <w:rFonts w:asciiTheme="minorHAnsi" w:hAnsiTheme="minorHAnsi"/>
          <w:b w:val="0"/>
          <w:bCs w:val="0"/>
          <w:sz w:val="22"/>
        </w:rPr>
        <w:t xml:space="preserve">the </w:t>
      </w:r>
      <w:r w:rsidR="00E538AB" w:rsidRPr="5F5F58AF">
        <w:rPr>
          <w:rFonts w:asciiTheme="minorHAnsi" w:hAnsiTheme="minorHAnsi"/>
          <w:b w:val="0"/>
          <w:bCs w:val="0"/>
          <w:sz w:val="22"/>
        </w:rPr>
        <w:t xml:space="preserve">sample </w:t>
      </w:r>
      <w:r w:rsidRPr="5F5F58AF">
        <w:rPr>
          <w:rFonts w:asciiTheme="minorHAnsi" w:hAnsiTheme="minorHAnsi"/>
          <w:b w:val="0"/>
          <w:bCs w:val="0"/>
          <w:sz w:val="22"/>
        </w:rPr>
        <w:t xml:space="preserve">Sponsorship </w:t>
      </w:r>
      <w:r w:rsidR="00E15AAD" w:rsidRPr="5F5F58AF">
        <w:rPr>
          <w:rFonts w:asciiTheme="minorHAnsi" w:hAnsiTheme="minorHAnsi"/>
          <w:b w:val="0"/>
          <w:bCs w:val="0"/>
          <w:sz w:val="22"/>
        </w:rPr>
        <w:t>Agreement</w:t>
      </w:r>
      <w:r w:rsidRPr="5F5F58AF">
        <w:rPr>
          <w:rFonts w:asciiTheme="minorHAnsi" w:hAnsiTheme="minorHAnsi"/>
          <w:b w:val="0"/>
          <w:bCs w:val="0"/>
          <w:sz w:val="22"/>
        </w:rPr>
        <w:t xml:space="preserve"> (Attachment </w:t>
      </w:r>
      <w:r w:rsidR="007F370D" w:rsidRPr="5F5F58AF">
        <w:rPr>
          <w:rFonts w:asciiTheme="minorHAnsi" w:hAnsiTheme="minorHAnsi"/>
          <w:b w:val="0"/>
          <w:bCs w:val="0"/>
          <w:sz w:val="22"/>
        </w:rPr>
        <w:t>B</w:t>
      </w:r>
      <w:r w:rsidRPr="5F5F58AF">
        <w:rPr>
          <w:rFonts w:asciiTheme="minorHAnsi" w:hAnsiTheme="minorHAnsi"/>
          <w:b w:val="0"/>
          <w:bCs w:val="0"/>
          <w:sz w:val="22"/>
        </w:rPr>
        <w:t>)</w:t>
      </w:r>
      <w:r w:rsidR="00E538AB" w:rsidRPr="5F5F58AF">
        <w:rPr>
          <w:rFonts w:asciiTheme="minorHAnsi" w:hAnsiTheme="minorHAnsi"/>
          <w:b w:val="0"/>
          <w:bCs w:val="0"/>
          <w:sz w:val="22"/>
        </w:rPr>
        <w:t>.</w:t>
      </w:r>
    </w:p>
    <w:p w14:paraId="7F5F5B3C" w14:textId="792CA3A8" w:rsidR="00A7573C" w:rsidRPr="00615A0C" w:rsidRDefault="00A7573C" w:rsidP="00615A0C">
      <w:pPr>
        <w:pStyle w:val="Policy-BodyText"/>
        <w:numPr>
          <w:ilvl w:val="1"/>
          <w:numId w:val="8"/>
        </w:numPr>
        <w:spacing w:before="120" w:after="120"/>
        <w:ind w:left="851" w:hanging="851"/>
        <w:contextualSpacing w:val="0"/>
        <w:rPr>
          <w:sz w:val="22"/>
          <w:szCs w:val="22"/>
        </w:rPr>
      </w:pPr>
      <w:r w:rsidRPr="00615A0C">
        <w:rPr>
          <w:sz w:val="22"/>
          <w:szCs w:val="22"/>
        </w:rPr>
        <w:t>Related Policies and Documents</w:t>
      </w:r>
    </w:p>
    <w:p w14:paraId="083BF6AD" w14:textId="77777777" w:rsidR="00A7573C" w:rsidRPr="00585AB9" w:rsidRDefault="00F044AE" w:rsidP="5F5F58AF">
      <w:pPr>
        <w:pStyle w:val="Policy-BodyText"/>
        <w:numPr>
          <w:ilvl w:val="0"/>
          <w:numId w:val="3"/>
        </w:numPr>
        <w:spacing w:before="120" w:after="120"/>
        <w:ind w:left="1418" w:hanging="567"/>
        <w:contextualSpacing w:val="0"/>
        <w:rPr>
          <w:sz w:val="22"/>
          <w:szCs w:val="22"/>
        </w:rPr>
      </w:pPr>
      <w:r w:rsidRPr="5F5F58AF">
        <w:rPr>
          <w:sz w:val="22"/>
          <w:szCs w:val="22"/>
        </w:rPr>
        <w:t>CIT Sponsorship Policy</w:t>
      </w:r>
    </w:p>
    <w:p w14:paraId="0CC7ECC9" w14:textId="078BD4F5" w:rsidR="00585AB9" w:rsidRPr="00774167" w:rsidRDefault="00585AB9" w:rsidP="5F5F58AF">
      <w:pPr>
        <w:pStyle w:val="Policy-BodyText"/>
        <w:numPr>
          <w:ilvl w:val="0"/>
          <w:numId w:val="3"/>
        </w:numPr>
        <w:spacing w:before="120" w:after="120"/>
        <w:ind w:left="1418" w:hanging="567"/>
        <w:contextualSpacing w:val="0"/>
        <w:rPr>
          <w:rStyle w:val="Hyperlink"/>
          <w:rFonts w:asciiTheme="minorHAnsi" w:hAnsiTheme="minorHAnsi"/>
          <w:sz w:val="22"/>
          <w:szCs w:val="22"/>
        </w:rPr>
      </w:pPr>
      <w:r w:rsidRPr="5F5F58AF">
        <w:rPr>
          <w:sz w:val="22"/>
          <w:szCs w:val="22"/>
        </w:rPr>
        <w:t>CIT Finance Policy</w:t>
      </w:r>
    </w:p>
    <w:p w14:paraId="53E7D29C" w14:textId="5E66C9A9" w:rsidR="00774167" w:rsidRDefault="00A7573C" w:rsidP="5F5F58AF">
      <w:pPr>
        <w:pStyle w:val="Policy-BodyText"/>
        <w:numPr>
          <w:ilvl w:val="0"/>
          <w:numId w:val="3"/>
        </w:numPr>
        <w:spacing w:before="120" w:after="120"/>
        <w:ind w:left="1418" w:hanging="567"/>
        <w:contextualSpacing w:val="0"/>
        <w:rPr>
          <w:rFonts w:asciiTheme="minorHAnsi" w:hAnsiTheme="minorHAnsi"/>
          <w:b/>
          <w:bCs/>
          <w:sz w:val="22"/>
          <w:szCs w:val="22"/>
        </w:rPr>
      </w:pPr>
      <w:r w:rsidRPr="5F5F58AF">
        <w:rPr>
          <w:rFonts w:asciiTheme="minorHAnsi" w:hAnsiTheme="minorHAnsi"/>
          <w:b/>
          <w:bCs/>
          <w:sz w:val="22"/>
          <w:szCs w:val="22"/>
        </w:rPr>
        <w:t xml:space="preserve">Attachment </w:t>
      </w:r>
      <w:r w:rsidR="007F370D" w:rsidRPr="5F5F58AF">
        <w:rPr>
          <w:rFonts w:asciiTheme="minorHAnsi" w:hAnsiTheme="minorHAnsi"/>
          <w:b/>
          <w:bCs/>
          <w:sz w:val="22"/>
          <w:szCs w:val="22"/>
        </w:rPr>
        <w:t>A</w:t>
      </w:r>
      <w:r w:rsidRPr="5F5F58AF">
        <w:rPr>
          <w:rFonts w:asciiTheme="minorHAnsi" w:hAnsiTheme="minorHAnsi"/>
          <w:b/>
          <w:bCs/>
          <w:sz w:val="22"/>
          <w:szCs w:val="22"/>
        </w:rPr>
        <w:t xml:space="preserve"> –</w:t>
      </w:r>
      <w:r w:rsidRPr="5F5F58AF">
        <w:rPr>
          <w:rFonts w:asciiTheme="minorHAnsi" w:hAnsiTheme="minorHAnsi"/>
          <w:sz w:val="22"/>
          <w:szCs w:val="22"/>
        </w:rPr>
        <w:t xml:space="preserve"> Sample </w:t>
      </w:r>
      <w:r w:rsidR="007F370D" w:rsidRPr="5F5F58AF">
        <w:rPr>
          <w:rFonts w:asciiTheme="minorHAnsi" w:hAnsiTheme="minorHAnsi"/>
          <w:sz w:val="22"/>
          <w:szCs w:val="22"/>
        </w:rPr>
        <w:t>Sponsorship Letter</w:t>
      </w:r>
      <w:r w:rsidRPr="5F5F58AF">
        <w:rPr>
          <w:rFonts w:asciiTheme="minorHAnsi" w:hAnsiTheme="minorHAnsi"/>
          <w:sz w:val="22"/>
          <w:szCs w:val="22"/>
        </w:rPr>
        <w:t xml:space="preserve"> </w:t>
      </w:r>
    </w:p>
    <w:p w14:paraId="3CFC2D80" w14:textId="7DD55DF0" w:rsidR="0021096E" w:rsidRPr="00865669" w:rsidRDefault="007965DF" w:rsidP="5F5F58AF">
      <w:pPr>
        <w:pStyle w:val="Policy-BodyText"/>
        <w:numPr>
          <w:ilvl w:val="0"/>
          <w:numId w:val="3"/>
        </w:numPr>
        <w:spacing w:before="120" w:after="120"/>
        <w:ind w:left="1418" w:hanging="567"/>
        <w:contextualSpacing w:val="0"/>
        <w:rPr>
          <w:rFonts w:asciiTheme="minorHAnsi" w:hAnsiTheme="minorHAnsi"/>
          <w:sz w:val="22"/>
          <w:szCs w:val="22"/>
        </w:rPr>
      </w:pPr>
      <w:r w:rsidRPr="5F5F58AF">
        <w:rPr>
          <w:rFonts w:asciiTheme="minorHAnsi" w:hAnsiTheme="minorHAnsi"/>
          <w:b/>
          <w:bCs/>
          <w:sz w:val="22"/>
          <w:szCs w:val="22"/>
        </w:rPr>
        <w:t xml:space="preserve">Attachment </w:t>
      </w:r>
      <w:r w:rsidR="007F370D" w:rsidRPr="5F5F58AF">
        <w:rPr>
          <w:rFonts w:asciiTheme="minorHAnsi" w:hAnsiTheme="minorHAnsi"/>
          <w:b/>
          <w:bCs/>
          <w:sz w:val="22"/>
          <w:szCs w:val="22"/>
        </w:rPr>
        <w:t>B</w:t>
      </w:r>
      <w:r w:rsidRPr="5F5F58AF">
        <w:rPr>
          <w:rFonts w:asciiTheme="minorHAnsi" w:hAnsiTheme="minorHAnsi"/>
          <w:b/>
          <w:bCs/>
          <w:sz w:val="22"/>
          <w:szCs w:val="22"/>
        </w:rPr>
        <w:t xml:space="preserve"> –</w:t>
      </w:r>
      <w:r w:rsidRPr="5F5F58AF">
        <w:rPr>
          <w:rFonts w:asciiTheme="minorHAnsi" w:hAnsiTheme="minorHAnsi"/>
          <w:sz w:val="22"/>
          <w:szCs w:val="22"/>
        </w:rPr>
        <w:t xml:space="preserve"> Sample </w:t>
      </w:r>
      <w:r w:rsidRPr="5F5F58AF">
        <w:rPr>
          <w:sz w:val="22"/>
          <w:szCs w:val="22"/>
        </w:rPr>
        <w:t xml:space="preserve">Sponsorship </w:t>
      </w:r>
      <w:r w:rsidR="007F370D" w:rsidRPr="5F5F58AF">
        <w:rPr>
          <w:sz w:val="22"/>
          <w:szCs w:val="22"/>
        </w:rPr>
        <w:t>Agreement</w:t>
      </w:r>
    </w:p>
    <w:p w14:paraId="7D85C864" w14:textId="1065AB47" w:rsidR="00865669" w:rsidRDefault="00865669" w:rsidP="6058FC22">
      <w:pPr>
        <w:pStyle w:val="Policy-BodyText"/>
        <w:numPr>
          <w:ilvl w:val="1"/>
          <w:numId w:val="0"/>
        </w:numPr>
        <w:spacing w:before="120" w:after="120"/>
        <w:ind w:left="710"/>
        <w:contextualSpacing w:val="0"/>
        <w:rPr>
          <w:rFonts w:asciiTheme="minorHAnsi" w:hAnsiTheme="minorHAnsi"/>
          <w:b/>
          <w:bCs/>
        </w:rPr>
      </w:pPr>
    </w:p>
    <w:p w14:paraId="459C0170" w14:textId="77777777" w:rsidR="00865669" w:rsidRDefault="00865669" w:rsidP="6058FC22">
      <w:pPr>
        <w:pStyle w:val="Policy-BodyText"/>
        <w:numPr>
          <w:ilvl w:val="1"/>
          <w:numId w:val="0"/>
        </w:numPr>
        <w:spacing w:before="120" w:after="120"/>
        <w:ind w:left="710"/>
        <w:contextualSpacing w:val="0"/>
        <w:rPr>
          <w:rFonts w:asciiTheme="minorHAnsi" w:hAnsiTheme="minorHAnsi"/>
        </w:rPr>
        <w:sectPr w:rsidR="00865669" w:rsidSect="00201618">
          <w:headerReference w:type="even" r:id="rId11"/>
          <w:headerReference w:type="default" r:id="rId12"/>
          <w:footerReference w:type="even" r:id="rId13"/>
          <w:footerReference w:type="default" r:id="rId14"/>
          <w:headerReference w:type="first" r:id="rId15"/>
          <w:footerReference w:type="first" r:id="rId16"/>
          <w:pgSz w:w="11906" w:h="16838"/>
          <w:pgMar w:top="1276" w:right="1106" w:bottom="1560" w:left="1418" w:header="709" w:footer="45" w:gutter="0"/>
          <w:cols w:space="708"/>
          <w:docGrid w:linePitch="360"/>
        </w:sectPr>
      </w:pPr>
    </w:p>
    <w:p w14:paraId="6FFA9772" w14:textId="77777777" w:rsidR="00DA5F75" w:rsidRPr="00E52BA5" w:rsidRDefault="00865669" w:rsidP="00201618">
      <w:pPr>
        <w:pStyle w:val="Policy-BodyText"/>
        <w:numPr>
          <w:ilvl w:val="1"/>
          <w:numId w:val="0"/>
        </w:numPr>
        <w:spacing w:before="120" w:after="120"/>
        <w:contextualSpacing w:val="0"/>
        <w:rPr>
          <w:b/>
          <w:bCs/>
          <w:i/>
          <w:iCs/>
          <w:sz w:val="22"/>
          <w:szCs w:val="22"/>
          <w:lang w:val="en-US"/>
        </w:rPr>
      </w:pPr>
      <w:r w:rsidRPr="00E52BA5">
        <w:rPr>
          <w:rFonts w:asciiTheme="minorHAnsi" w:hAnsiTheme="minorHAnsi"/>
          <w:b/>
          <w:bCs/>
          <w:i/>
          <w:iCs/>
          <w:sz w:val="22"/>
          <w:szCs w:val="22"/>
        </w:rPr>
        <w:lastRenderedPageBreak/>
        <w:t xml:space="preserve">Appendix A - </w:t>
      </w:r>
      <w:r w:rsidRPr="00E52BA5">
        <w:rPr>
          <w:b/>
          <w:bCs/>
          <w:i/>
          <w:iCs/>
          <w:sz w:val="22"/>
          <w:szCs w:val="22"/>
          <w:lang w:val="en-US"/>
        </w:rPr>
        <w:t>Ten sponsorship principles</w:t>
      </w:r>
    </w:p>
    <w:tbl>
      <w:tblPr>
        <w:tblStyle w:val="TableGrid"/>
        <w:tblW w:w="5000" w:type="pct"/>
        <w:tblLook w:val="04A0" w:firstRow="1" w:lastRow="0" w:firstColumn="1" w:lastColumn="0" w:noHBand="0" w:noVBand="1"/>
      </w:tblPr>
      <w:tblGrid>
        <w:gridCol w:w="4565"/>
        <w:gridCol w:w="9711"/>
      </w:tblGrid>
      <w:tr w:rsidR="00DA5F75" w:rsidRPr="00201618" w14:paraId="78693916" w14:textId="77777777" w:rsidTr="00E52BA5">
        <w:trPr>
          <w:tblHeader/>
        </w:trPr>
        <w:tc>
          <w:tcPr>
            <w:tcW w:w="1599" w:type="pct"/>
            <w:shd w:val="clear" w:color="auto" w:fill="D9D9D9" w:themeFill="background1" w:themeFillShade="D9"/>
          </w:tcPr>
          <w:p w14:paraId="7B90E6DF" w14:textId="77777777" w:rsidR="00DA5F75" w:rsidRPr="00201618" w:rsidRDefault="3EA2577A" w:rsidP="009D0F05">
            <w:pPr>
              <w:pStyle w:val="Policy-BodyText"/>
              <w:numPr>
                <w:ilvl w:val="1"/>
                <w:numId w:val="0"/>
              </w:numPr>
              <w:spacing w:before="120" w:after="120"/>
              <w:contextualSpacing w:val="0"/>
              <w:rPr>
                <w:b/>
                <w:bCs/>
                <w:sz w:val="22"/>
                <w:szCs w:val="22"/>
              </w:rPr>
            </w:pPr>
            <w:r w:rsidRPr="00201618">
              <w:rPr>
                <w:b/>
                <w:bCs/>
                <w:sz w:val="22"/>
                <w:szCs w:val="22"/>
              </w:rPr>
              <w:t>Principle</w:t>
            </w:r>
          </w:p>
        </w:tc>
        <w:tc>
          <w:tcPr>
            <w:tcW w:w="3401" w:type="pct"/>
            <w:shd w:val="clear" w:color="auto" w:fill="D9D9D9" w:themeFill="background1" w:themeFillShade="D9"/>
          </w:tcPr>
          <w:p w14:paraId="00F5FFF6" w14:textId="77777777" w:rsidR="00DA5F75" w:rsidRPr="00201618" w:rsidRDefault="3EA2577A" w:rsidP="009D0F05">
            <w:pPr>
              <w:pStyle w:val="Policy-BodyText"/>
              <w:numPr>
                <w:ilvl w:val="1"/>
                <w:numId w:val="0"/>
              </w:numPr>
              <w:spacing w:before="120" w:after="120"/>
              <w:contextualSpacing w:val="0"/>
              <w:rPr>
                <w:b/>
                <w:bCs/>
                <w:sz w:val="22"/>
                <w:szCs w:val="22"/>
              </w:rPr>
            </w:pPr>
            <w:r w:rsidRPr="00201618">
              <w:rPr>
                <w:b/>
                <w:bCs/>
                <w:sz w:val="22"/>
                <w:szCs w:val="22"/>
              </w:rPr>
              <w:t>CIT Application</w:t>
            </w:r>
          </w:p>
        </w:tc>
      </w:tr>
      <w:tr w:rsidR="00DA5F75" w:rsidRPr="00201618" w14:paraId="0F6D00E8" w14:textId="77777777" w:rsidTr="00E52BA5">
        <w:tc>
          <w:tcPr>
            <w:tcW w:w="1599" w:type="pct"/>
          </w:tcPr>
          <w:p w14:paraId="77BFEE16" w14:textId="77777777" w:rsidR="00DA5F75" w:rsidRPr="00201618" w:rsidRDefault="3D1BB196" w:rsidP="00201618">
            <w:pPr>
              <w:pStyle w:val="Policy-BodyText"/>
              <w:numPr>
                <w:ilvl w:val="0"/>
                <w:numId w:val="7"/>
              </w:numPr>
              <w:spacing w:before="120" w:after="120"/>
              <w:ind w:left="600" w:hanging="567"/>
              <w:contextualSpacing w:val="0"/>
              <w:rPr>
                <w:rFonts w:cs="Calibri"/>
                <w:sz w:val="22"/>
                <w:szCs w:val="22"/>
              </w:rPr>
            </w:pPr>
            <w:r w:rsidRPr="00201618">
              <w:rPr>
                <w:sz w:val="22"/>
                <w:szCs w:val="22"/>
                <w:lang w:val="en-US"/>
              </w:rPr>
              <w:t>A sponsorship agreement should not impose or imply conditions that would limit, or appear to limit, a public sector agency’s ability to carry out its functions fully and impartially.</w:t>
            </w:r>
          </w:p>
        </w:tc>
        <w:tc>
          <w:tcPr>
            <w:tcW w:w="3401" w:type="pct"/>
          </w:tcPr>
          <w:p w14:paraId="191DB95B" w14:textId="5545DC65" w:rsidR="00DA5F75" w:rsidRPr="00201618" w:rsidRDefault="3D1BB196" w:rsidP="5F5F58AF">
            <w:pPr>
              <w:pStyle w:val="Policy-BodyText"/>
              <w:numPr>
                <w:ilvl w:val="1"/>
                <w:numId w:val="0"/>
              </w:numPr>
              <w:tabs>
                <w:tab w:val="num" w:pos="1277"/>
              </w:tabs>
              <w:spacing w:before="120" w:after="120"/>
              <w:contextualSpacing w:val="0"/>
              <w:rPr>
                <w:sz w:val="22"/>
                <w:szCs w:val="22"/>
                <w:lang w:val="en-US"/>
              </w:rPr>
            </w:pPr>
            <w:r w:rsidRPr="00201618">
              <w:rPr>
                <w:sz w:val="22"/>
                <w:szCs w:val="22"/>
                <w:lang w:val="en-US"/>
              </w:rPr>
              <w:t xml:space="preserve">A sponsorship arrangement must not influence or appear to influence CIT’s goals, strategic direction or integrity. Incoming Sponsorship does not allow a sponsor to determine or influence the content of any program or service. All interactions need to be transparent and be able to withstand public scrutiny. If any doubt exists about the propriety of a proposed sponsorship agreement employees must consider </w:t>
            </w:r>
            <w:r w:rsidR="1C8AE773" w:rsidRPr="00201618">
              <w:rPr>
                <w:sz w:val="22"/>
                <w:szCs w:val="22"/>
                <w:lang w:val="en-US"/>
              </w:rPr>
              <w:t>whether</w:t>
            </w:r>
            <w:r w:rsidRPr="00201618">
              <w:rPr>
                <w:sz w:val="22"/>
                <w:szCs w:val="22"/>
                <w:lang w:val="en-US"/>
              </w:rPr>
              <w:t xml:space="preserve"> the arrangement would withstand critical public scrutiny.</w:t>
            </w:r>
          </w:p>
          <w:p w14:paraId="245C992C" w14:textId="3602C7EB" w:rsidR="00DA5F75" w:rsidRPr="00201618" w:rsidRDefault="3D1BB196" w:rsidP="5F5F58AF">
            <w:pPr>
              <w:pStyle w:val="Policy-BodyText"/>
              <w:numPr>
                <w:ilvl w:val="1"/>
                <w:numId w:val="0"/>
              </w:numPr>
              <w:tabs>
                <w:tab w:val="num" w:pos="1277"/>
              </w:tabs>
              <w:spacing w:before="120" w:after="120"/>
              <w:contextualSpacing w:val="0"/>
              <w:rPr>
                <w:sz w:val="22"/>
                <w:szCs w:val="22"/>
                <w:lang w:val="en-US"/>
              </w:rPr>
            </w:pPr>
            <w:r w:rsidRPr="00201618">
              <w:rPr>
                <w:sz w:val="22"/>
                <w:szCs w:val="22"/>
                <w:lang w:val="en-US"/>
              </w:rPr>
              <w:t xml:space="preserve">It is reasonable for sponsorship to be one factor in determining the priority of some projects; </w:t>
            </w:r>
            <w:r w:rsidR="29B2D398" w:rsidRPr="00201618">
              <w:rPr>
                <w:sz w:val="22"/>
                <w:szCs w:val="22"/>
                <w:lang w:val="en-US"/>
              </w:rPr>
              <w:t>however,</w:t>
            </w:r>
            <w:r w:rsidRPr="00201618">
              <w:rPr>
                <w:sz w:val="22"/>
                <w:szCs w:val="22"/>
                <w:lang w:val="en-US"/>
              </w:rPr>
              <w:t xml:space="preserve"> this must not affect or compromise core CIT objectives. When drafting a sponsorship agreement, it is important that it does not include conditions that would limit or appear to limit CIT carrying out its functions.</w:t>
            </w:r>
          </w:p>
        </w:tc>
      </w:tr>
      <w:tr w:rsidR="00DA5F75" w:rsidRPr="00201618" w14:paraId="16534FD0" w14:textId="77777777" w:rsidTr="00E52BA5">
        <w:tc>
          <w:tcPr>
            <w:tcW w:w="1599" w:type="pct"/>
          </w:tcPr>
          <w:p w14:paraId="63C8888A" w14:textId="77777777" w:rsidR="00DA5F75" w:rsidRPr="00201618" w:rsidRDefault="3D1BB196" w:rsidP="00201618">
            <w:pPr>
              <w:pStyle w:val="Policy-BodyText"/>
              <w:numPr>
                <w:ilvl w:val="0"/>
                <w:numId w:val="7"/>
              </w:numPr>
              <w:spacing w:before="120" w:after="120"/>
              <w:ind w:left="600" w:hanging="567"/>
              <w:contextualSpacing w:val="0"/>
              <w:rPr>
                <w:sz w:val="22"/>
                <w:szCs w:val="22"/>
                <w:lang w:val="en-US"/>
              </w:rPr>
            </w:pPr>
            <w:r w:rsidRPr="00201618">
              <w:rPr>
                <w:sz w:val="22"/>
                <w:szCs w:val="22"/>
                <w:lang w:val="en-US"/>
              </w:rPr>
              <w:t>There should be no actual conflict between the objectives and/or mission of the sponsored agency and those of the sponsor.</w:t>
            </w:r>
          </w:p>
        </w:tc>
        <w:tc>
          <w:tcPr>
            <w:tcW w:w="3401" w:type="pct"/>
          </w:tcPr>
          <w:p w14:paraId="1F2B022F" w14:textId="77777777" w:rsidR="00DA5F75" w:rsidRPr="00201618" w:rsidRDefault="3D1BB196" w:rsidP="5F5F58AF">
            <w:pPr>
              <w:pStyle w:val="Policy-BodyText"/>
              <w:numPr>
                <w:ilvl w:val="1"/>
                <w:numId w:val="0"/>
              </w:numPr>
              <w:tabs>
                <w:tab w:val="num" w:pos="1277"/>
              </w:tabs>
              <w:spacing w:before="120" w:after="120"/>
              <w:contextualSpacing w:val="0"/>
              <w:rPr>
                <w:sz w:val="22"/>
                <w:szCs w:val="22"/>
                <w:lang w:val="en-US"/>
              </w:rPr>
            </w:pPr>
            <w:r w:rsidRPr="00201618">
              <w:rPr>
                <w:sz w:val="22"/>
                <w:szCs w:val="22"/>
                <w:lang w:val="en-US"/>
              </w:rPr>
              <w:t>Before entering into a sponsorship agreement, employees should consider whether association with the sponsor/recipient organisation could lead to any conflict, perceived or actual, with CIT’s policies, practices and objectives, or the ACT Government's broader policies and objectives. Sponsorship is in essence partnering CIT’s name and reputation with that of the sponsor/recipient organisation. Outgoing Sponsorship recipients should be reputable individuals or organisations, and there should be no conflicts arising from the personal relationships or financial arrangements of staff involved in sponsorship assessment, approval or administration.</w:t>
            </w:r>
          </w:p>
          <w:p w14:paraId="4FFF75B4" w14:textId="77777777" w:rsidR="00DA5F75" w:rsidRPr="00201618" w:rsidRDefault="3D1BB196" w:rsidP="5F5F58AF">
            <w:pPr>
              <w:pStyle w:val="Policy-BodyText"/>
              <w:numPr>
                <w:ilvl w:val="1"/>
                <w:numId w:val="0"/>
              </w:numPr>
              <w:tabs>
                <w:tab w:val="num" w:pos="1277"/>
              </w:tabs>
              <w:spacing w:before="120" w:after="120"/>
              <w:contextualSpacing w:val="0"/>
              <w:rPr>
                <w:sz w:val="22"/>
                <w:szCs w:val="22"/>
                <w:lang w:val="en-US"/>
              </w:rPr>
            </w:pPr>
            <w:r w:rsidRPr="00201618">
              <w:rPr>
                <w:sz w:val="22"/>
                <w:szCs w:val="22"/>
                <w:lang w:val="en-US"/>
              </w:rPr>
              <w:t>Organisations from which Incoming Sponsorship would generally not be accepted are those with links to, for example, the tobacco industry, heavily linked with political or religious activities and those that are competitors of existing sponsors. Acceptance of proposals in these circumstances should be considered on a case-by-case basis.</w:t>
            </w:r>
          </w:p>
        </w:tc>
      </w:tr>
      <w:tr w:rsidR="00DA5F75" w:rsidRPr="00201618" w14:paraId="070E2D2C" w14:textId="77777777" w:rsidTr="00E52BA5">
        <w:tc>
          <w:tcPr>
            <w:tcW w:w="1599" w:type="pct"/>
          </w:tcPr>
          <w:p w14:paraId="152994BD" w14:textId="77777777" w:rsidR="00DA5F75" w:rsidRPr="00201618" w:rsidRDefault="3D1BB196" w:rsidP="00201618">
            <w:pPr>
              <w:pStyle w:val="Policy-BodyText"/>
              <w:numPr>
                <w:ilvl w:val="0"/>
                <w:numId w:val="7"/>
              </w:numPr>
              <w:spacing w:before="120" w:after="120"/>
              <w:ind w:left="600" w:hanging="567"/>
              <w:contextualSpacing w:val="0"/>
              <w:rPr>
                <w:sz w:val="22"/>
                <w:szCs w:val="22"/>
                <w:lang w:val="en-US"/>
              </w:rPr>
            </w:pPr>
            <w:r w:rsidRPr="00201618">
              <w:rPr>
                <w:sz w:val="22"/>
                <w:szCs w:val="22"/>
                <w:lang w:val="en-US"/>
              </w:rPr>
              <w:t xml:space="preserve">In general, a public sector agency with regulatory or inspection responsibilities should not seek or accept sponsorship from people or organisations which are or may be subject to regulation or inspection by the agency during the life </w:t>
            </w:r>
            <w:r w:rsidRPr="00201618">
              <w:rPr>
                <w:sz w:val="22"/>
                <w:szCs w:val="22"/>
                <w:lang w:val="en-US"/>
              </w:rPr>
              <w:lastRenderedPageBreak/>
              <w:t>of the sponsorship. Where adhering to this principle would unduly limit the agency’s sponsorship prospects, the agency should develop alternative strategies to ensure it can carry out its regulatory or inspection responsibilities in relation to sponsors in an open, fair, accountable and impartial manner.</w:t>
            </w:r>
          </w:p>
        </w:tc>
        <w:tc>
          <w:tcPr>
            <w:tcW w:w="3401" w:type="pct"/>
          </w:tcPr>
          <w:p w14:paraId="773BD6A5" w14:textId="3DE509EB" w:rsidR="00DA5F75" w:rsidRPr="00201618" w:rsidRDefault="3D1BB196" w:rsidP="5F5F58AF">
            <w:pPr>
              <w:pStyle w:val="Policy-BodyText"/>
              <w:numPr>
                <w:ilvl w:val="1"/>
                <w:numId w:val="0"/>
              </w:numPr>
              <w:tabs>
                <w:tab w:val="num" w:pos="1277"/>
              </w:tabs>
              <w:spacing w:before="120" w:after="120"/>
              <w:contextualSpacing w:val="0"/>
              <w:rPr>
                <w:sz w:val="22"/>
                <w:szCs w:val="22"/>
                <w:lang w:val="en-US"/>
              </w:rPr>
            </w:pPr>
            <w:r w:rsidRPr="00201618">
              <w:rPr>
                <w:sz w:val="22"/>
                <w:szCs w:val="22"/>
                <w:lang w:val="en-US"/>
              </w:rPr>
              <w:lastRenderedPageBreak/>
              <w:t>CIT should not provide Outgoing Sponsorship to an organisation that is or could be subject to regulation or inspection by CIT during the life of the sponsorship.</w:t>
            </w:r>
          </w:p>
          <w:p w14:paraId="4DA67CCA" w14:textId="77777777" w:rsidR="00DA5F75" w:rsidRPr="00201618" w:rsidRDefault="3D1BB196" w:rsidP="5F5F58AF">
            <w:pPr>
              <w:pStyle w:val="Policy-BodyText"/>
              <w:numPr>
                <w:ilvl w:val="1"/>
                <w:numId w:val="0"/>
              </w:numPr>
              <w:tabs>
                <w:tab w:val="num" w:pos="1277"/>
              </w:tabs>
              <w:spacing w:before="120" w:after="120"/>
              <w:contextualSpacing w:val="0"/>
              <w:rPr>
                <w:sz w:val="22"/>
                <w:szCs w:val="22"/>
                <w:lang w:val="en-US"/>
              </w:rPr>
            </w:pPr>
            <w:r w:rsidRPr="00201618">
              <w:rPr>
                <w:sz w:val="22"/>
                <w:szCs w:val="22"/>
                <w:lang w:val="en-US"/>
              </w:rPr>
              <w:t xml:space="preserve">Additionally, when considering accepting Incoming Sponsorship, CIT should consider the public interest, accountability and public perception. Action should be taken to manage potential risks. In general CIT should not seek or accept sponsorship in cases where the individual or organisation would be subject to </w:t>
            </w:r>
            <w:r w:rsidRPr="00201618">
              <w:rPr>
                <w:sz w:val="22"/>
                <w:szCs w:val="22"/>
                <w:lang w:val="en-US"/>
              </w:rPr>
              <w:lastRenderedPageBreak/>
              <w:t>regulation or inspection by CIT. Reasons for non-adherence to this principle and the strategies implemented to carry out CIT’s responsibilities must be documented in each case.</w:t>
            </w:r>
          </w:p>
        </w:tc>
      </w:tr>
      <w:tr w:rsidR="00DA5F75" w:rsidRPr="00201618" w14:paraId="1E3F66D4" w14:textId="77777777" w:rsidTr="00E52BA5">
        <w:tc>
          <w:tcPr>
            <w:tcW w:w="1599" w:type="pct"/>
          </w:tcPr>
          <w:p w14:paraId="45E7B804" w14:textId="77777777" w:rsidR="00DA5F75" w:rsidRPr="00201618" w:rsidRDefault="3D1BB196" w:rsidP="00201618">
            <w:pPr>
              <w:pStyle w:val="Policy-BodyText"/>
              <w:numPr>
                <w:ilvl w:val="0"/>
                <w:numId w:val="7"/>
              </w:numPr>
              <w:spacing w:before="120" w:after="120"/>
              <w:ind w:left="600" w:hanging="567"/>
              <w:contextualSpacing w:val="0"/>
              <w:rPr>
                <w:sz w:val="22"/>
                <w:szCs w:val="22"/>
                <w:lang w:val="en-US"/>
              </w:rPr>
            </w:pPr>
            <w:r w:rsidRPr="00201618">
              <w:rPr>
                <w:sz w:val="22"/>
                <w:szCs w:val="22"/>
                <w:lang w:val="en-US"/>
              </w:rPr>
              <w:lastRenderedPageBreak/>
              <w:t>Sponsorship of a public sector agency or activity should not involve explicit endorsement of the sponsor or the sponsor’s products.</w:t>
            </w:r>
          </w:p>
          <w:p w14:paraId="658B52C8" w14:textId="77777777" w:rsidR="00DA5F75" w:rsidRPr="00201618" w:rsidRDefault="00DA5F75" w:rsidP="5F5F58AF">
            <w:pPr>
              <w:pStyle w:val="Policy-BodyText"/>
              <w:numPr>
                <w:ilvl w:val="1"/>
                <w:numId w:val="0"/>
              </w:numPr>
              <w:rPr>
                <w:sz w:val="22"/>
                <w:szCs w:val="22"/>
              </w:rPr>
            </w:pPr>
          </w:p>
        </w:tc>
        <w:tc>
          <w:tcPr>
            <w:tcW w:w="3401" w:type="pct"/>
          </w:tcPr>
          <w:p w14:paraId="2CF3C0FD" w14:textId="77777777" w:rsidR="00DA5F75" w:rsidRPr="00201618" w:rsidRDefault="3D1BB196" w:rsidP="5F5F58AF">
            <w:pPr>
              <w:pStyle w:val="Policy-BodyText"/>
              <w:numPr>
                <w:ilvl w:val="1"/>
                <w:numId w:val="0"/>
              </w:numPr>
              <w:tabs>
                <w:tab w:val="num" w:pos="1277"/>
              </w:tabs>
              <w:spacing w:before="120" w:after="120"/>
              <w:contextualSpacing w:val="0"/>
              <w:rPr>
                <w:sz w:val="22"/>
                <w:szCs w:val="22"/>
                <w:lang w:val="en-US"/>
              </w:rPr>
            </w:pPr>
            <w:r w:rsidRPr="00201618">
              <w:rPr>
                <w:sz w:val="22"/>
                <w:szCs w:val="22"/>
                <w:lang w:val="en-US"/>
              </w:rPr>
              <w:t>CIT will not explicitly endorse a sponsorship recipient’s organisation or products. Use of the ACT Government/CIT logo must be in accordance with the ACT Government Branding Guidelines. It must also be within the terms of the sponsorship agreement, which should include the ways in which the sponsor can use the sponsorship relationship, for example in advertisements or magazine articles.</w:t>
            </w:r>
          </w:p>
        </w:tc>
      </w:tr>
      <w:tr w:rsidR="00DA5F75" w:rsidRPr="00201618" w14:paraId="2A87E016" w14:textId="77777777" w:rsidTr="00E52BA5">
        <w:tc>
          <w:tcPr>
            <w:tcW w:w="1599" w:type="pct"/>
          </w:tcPr>
          <w:p w14:paraId="0158A059" w14:textId="77777777" w:rsidR="00DA5F75" w:rsidRPr="00201618" w:rsidRDefault="3D1BB196" w:rsidP="00201618">
            <w:pPr>
              <w:pStyle w:val="Policy-BodyText"/>
              <w:numPr>
                <w:ilvl w:val="0"/>
                <w:numId w:val="7"/>
              </w:numPr>
              <w:spacing w:before="120" w:after="120"/>
              <w:ind w:left="600" w:hanging="567"/>
              <w:contextualSpacing w:val="0"/>
              <w:rPr>
                <w:sz w:val="22"/>
                <w:szCs w:val="22"/>
                <w:lang w:val="en-US"/>
              </w:rPr>
            </w:pPr>
            <w:r w:rsidRPr="00201618">
              <w:rPr>
                <w:sz w:val="22"/>
                <w:szCs w:val="22"/>
                <w:lang w:val="en-US"/>
              </w:rPr>
              <w:t>Where sponsorship involves the sponsor providing a product to the agency, the agency should evaluate that product for its fitness for purpose against objective criteria that are relevant to the agency’s needs.</w:t>
            </w:r>
          </w:p>
        </w:tc>
        <w:tc>
          <w:tcPr>
            <w:tcW w:w="3401" w:type="pct"/>
          </w:tcPr>
          <w:p w14:paraId="400C14D4" w14:textId="2E3F1183" w:rsidR="00DA5F75" w:rsidRPr="00201618" w:rsidRDefault="3D1BB196" w:rsidP="5F5F58AF">
            <w:pPr>
              <w:pStyle w:val="Policy-BodyText"/>
              <w:numPr>
                <w:ilvl w:val="1"/>
                <w:numId w:val="0"/>
              </w:numPr>
              <w:tabs>
                <w:tab w:val="num" w:pos="1277"/>
              </w:tabs>
              <w:spacing w:before="120" w:after="120"/>
              <w:contextualSpacing w:val="0"/>
              <w:rPr>
                <w:sz w:val="22"/>
                <w:szCs w:val="22"/>
                <w:lang w:val="en-US"/>
              </w:rPr>
            </w:pPr>
            <w:r w:rsidRPr="00201618">
              <w:rPr>
                <w:sz w:val="22"/>
                <w:szCs w:val="22"/>
                <w:lang w:val="en-US"/>
              </w:rPr>
              <w:t xml:space="preserve">A sponsor’s products should not be accepted simply because they are offered free of charge or at a discounted rate. The relevance and suitability of the products in relation to the sponsored activity should be assessed. For </w:t>
            </w:r>
            <w:r w:rsidR="0F25400A" w:rsidRPr="00201618">
              <w:rPr>
                <w:sz w:val="22"/>
                <w:szCs w:val="22"/>
                <w:lang w:val="en-US"/>
              </w:rPr>
              <w:t>example,</w:t>
            </w:r>
            <w:r w:rsidRPr="00201618">
              <w:rPr>
                <w:sz w:val="22"/>
                <w:szCs w:val="22"/>
                <w:lang w:val="en-US"/>
              </w:rPr>
              <w:t xml:space="preserve"> products to be provided as a component of in-kind support, for the purpose of ‘</w:t>
            </w:r>
            <w:r w:rsidR="087A9821" w:rsidRPr="00201618">
              <w:rPr>
                <w:sz w:val="22"/>
                <w:szCs w:val="22"/>
                <w:lang w:val="en-US"/>
              </w:rPr>
              <w:t>giveaways</w:t>
            </w:r>
            <w:r w:rsidRPr="00201618">
              <w:rPr>
                <w:sz w:val="22"/>
                <w:szCs w:val="22"/>
                <w:lang w:val="en-US"/>
              </w:rPr>
              <w:t>’ at an event, must not be of sub-standard quality or inappropriate to CIT’s activities or the event being delivered.</w:t>
            </w:r>
          </w:p>
        </w:tc>
      </w:tr>
      <w:tr w:rsidR="00DA5F75" w:rsidRPr="00201618" w14:paraId="009E73A7" w14:textId="77777777" w:rsidTr="00E52BA5">
        <w:tc>
          <w:tcPr>
            <w:tcW w:w="1599" w:type="pct"/>
          </w:tcPr>
          <w:p w14:paraId="39AC6D7B" w14:textId="78669466" w:rsidR="00DA5F75" w:rsidRPr="00201618" w:rsidRDefault="3D1BB196" w:rsidP="00201618">
            <w:pPr>
              <w:pStyle w:val="Policy-BodyText"/>
              <w:numPr>
                <w:ilvl w:val="0"/>
                <w:numId w:val="7"/>
              </w:numPr>
              <w:spacing w:before="120" w:after="120"/>
              <w:ind w:left="600" w:hanging="567"/>
              <w:contextualSpacing w:val="0"/>
              <w:rPr>
                <w:sz w:val="22"/>
                <w:szCs w:val="22"/>
                <w:lang w:val="en-US"/>
              </w:rPr>
            </w:pPr>
            <w:r w:rsidRPr="00201618">
              <w:rPr>
                <w:sz w:val="22"/>
                <w:szCs w:val="22"/>
                <w:lang w:val="en-US"/>
              </w:rPr>
              <w:t>It is inappropriate for any employee of a public sector agency to receive a personal benefit from a sponsorship.</w:t>
            </w:r>
          </w:p>
        </w:tc>
        <w:tc>
          <w:tcPr>
            <w:tcW w:w="3401" w:type="pct"/>
          </w:tcPr>
          <w:p w14:paraId="295E75F8" w14:textId="77777777" w:rsidR="006E3164" w:rsidRPr="00201618" w:rsidRDefault="3D1BB196" w:rsidP="5F5F58AF">
            <w:pPr>
              <w:pStyle w:val="Policy-BodyText"/>
              <w:numPr>
                <w:ilvl w:val="1"/>
                <w:numId w:val="0"/>
              </w:numPr>
              <w:tabs>
                <w:tab w:val="num" w:pos="1277"/>
              </w:tabs>
              <w:spacing w:before="120" w:after="120"/>
              <w:contextualSpacing w:val="0"/>
              <w:rPr>
                <w:sz w:val="22"/>
                <w:szCs w:val="22"/>
                <w:lang w:val="en-US"/>
              </w:rPr>
            </w:pPr>
            <w:r w:rsidRPr="00201618">
              <w:rPr>
                <w:sz w:val="22"/>
                <w:szCs w:val="22"/>
                <w:lang w:val="en-US"/>
              </w:rPr>
              <w:t xml:space="preserve">Sponsorship must be used in the public interest and should not benefit individual employees. As detailed in the </w:t>
            </w:r>
            <w:r w:rsidRPr="00201618">
              <w:rPr>
                <w:i/>
                <w:iCs/>
                <w:sz w:val="22"/>
                <w:szCs w:val="22"/>
                <w:lang w:val="en-US"/>
              </w:rPr>
              <w:t>ACT Public Service Code of Ethics</w:t>
            </w:r>
            <w:r w:rsidRPr="00201618">
              <w:rPr>
                <w:sz w:val="22"/>
                <w:szCs w:val="22"/>
                <w:lang w:val="en-US"/>
              </w:rPr>
              <w:t xml:space="preserve">, public servants are prohibited from using their positions to obtain benefits. The appearance of influence may damage the employee’s reputation or affect public trust in CIT’s integrity. In instances where a sponsorship agreement specifies, or results at any time in, the offer of gifts/tickets to events and/or hospitality to individual employees these must be treated in accordance to the </w:t>
            </w:r>
            <w:r w:rsidRPr="00201618">
              <w:rPr>
                <w:i/>
                <w:iCs/>
                <w:sz w:val="22"/>
                <w:szCs w:val="22"/>
                <w:lang w:val="en-US"/>
              </w:rPr>
              <w:t>CIT Hospitality, Meetings, CIT Ceremonies and Gifts Policy, CIT Chief Executive Financial Instructions</w:t>
            </w:r>
            <w:r w:rsidRPr="00201618">
              <w:rPr>
                <w:sz w:val="22"/>
                <w:szCs w:val="22"/>
                <w:lang w:val="en-US"/>
              </w:rPr>
              <w:t xml:space="preserve">. The </w:t>
            </w:r>
            <w:r w:rsidRPr="00201618">
              <w:rPr>
                <w:i/>
                <w:iCs/>
                <w:sz w:val="22"/>
                <w:szCs w:val="22"/>
                <w:lang w:val="en-US"/>
              </w:rPr>
              <w:t>CIT Hospitality, Meetings, CIT Ceremonies and Gifts Policy</w:t>
            </w:r>
            <w:r w:rsidRPr="00201618">
              <w:rPr>
                <w:sz w:val="22"/>
                <w:szCs w:val="22"/>
                <w:lang w:val="en-US"/>
              </w:rPr>
              <w:t xml:space="preserve"> details the approval processes, </w:t>
            </w:r>
            <w:r w:rsidRPr="00201618">
              <w:rPr>
                <w:sz w:val="22"/>
                <w:szCs w:val="22"/>
                <w:lang w:val="en-US"/>
              </w:rPr>
              <w:lastRenderedPageBreak/>
              <w:t xml:space="preserve">responsibilities and reporting requirements including, where relevant, completion of the CIT Gifts, Benefits and Event Attendance Register. </w:t>
            </w:r>
          </w:p>
          <w:p w14:paraId="26F0D815" w14:textId="77AFABCB" w:rsidR="00DA5F75" w:rsidRPr="00201618" w:rsidRDefault="3D1BB196" w:rsidP="5F5F58AF">
            <w:pPr>
              <w:pStyle w:val="Policy-BodyText"/>
              <w:numPr>
                <w:ilvl w:val="1"/>
                <w:numId w:val="0"/>
              </w:numPr>
              <w:tabs>
                <w:tab w:val="num" w:pos="1277"/>
              </w:tabs>
              <w:spacing w:before="120" w:after="120"/>
              <w:contextualSpacing w:val="0"/>
              <w:rPr>
                <w:sz w:val="22"/>
                <w:szCs w:val="22"/>
                <w:lang w:val="en-US"/>
              </w:rPr>
            </w:pPr>
            <w:r w:rsidRPr="00201618">
              <w:rPr>
                <w:sz w:val="22"/>
                <w:szCs w:val="22"/>
                <w:lang w:val="en-US"/>
              </w:rPr>
              <w:t>An example of a personal benefit requiring this treatment would be something a sponsorship recipient gives directly to an individual staff member for their personal use and which provides no benefit to CIT, such as tickets to a sporting event or a holiday.</w:t>
            </w:r>
          </w:p>
        </w:tc>
      </w:tr>
      <w:tr w:rsidR="00DA5F75" w:rsidRPr="00201618" w14:paraId="164F6212" w14:textId="77777777" w:rsidTr="00E52BA5">
        <w:tc>
          <w:tcPr>
            <w:tcW w:w="1599" w:type="pct"/>
          </w:tcPr>
          <w:p w14:paraId="59C76EDC" w14:textId="77777777" w:rsidR="00DA5F75" w:rsidRPr="00201618" w:rsidRDefault="3D1BB196" w:rsidP="00201618">
            <w:pPr>
              <w:pStyle w:val="Policy-BodyText"/>
              <w:numPr>
                <w:ilvl w:val="0"/>
                <w:numId w:val="7"/>
              </w:numPr>
              <w:spacing w:before="120" w:after="120"/>
              <w:ind w:left="600" w:hanging="567"/>
              <w:contextualSpacing w:val="0"/>
              <w:rPr>
                <w:sz w:val="22"/>
                <w:szCs w:val="22"/>
                <w:lang w:val="en-US"/>
              </w:rPr>
            </w:pPr>
            <w:r w:rsidRPr="00201618">
              <w:rPr>
                <w:sz w:val="22"/>
                <w:szCs w:val="22"/>
                <w:lang w:val="en-US"/>
              </w:rPr>
              <w:lastRenderedPageBreak/>
              <w:t>In most circumstances the public interest is best served by making sponsorship opportunities widely known. To this end sponsorships should be sought and granted by using broadly based, open processes that are not limited solely to invited sponsors.</w:t>
            </w:r>
          </w:p>
        </w:tc>
        <w:tc>
          <w:tcPr>
            <w:tcW w:w="3401" w:type="pct"/>
          </w:tcPr>
          <w:p w14:paraId="420B2B56" w14:textId="4217001F" w:rsidR="00AE717E" w:rsidRPr="00201618" w:rsidRDefault="3D1BB196" w:rsidP="5F5F58AF">
            <w:pPr>
              <w:pStyle w:val="Policy-BodyText"/>
              <w:numPr>
                <w:ilvl w:val="1"/>
                <w:numId w:val="0"/>
              </w:numPr>
              <w:tabs>
                <w:tab w:val="num" w:pos="1277"/>
              </w:tabs>
              <w:spacing w:before="120" w:after="120"/>
              <w:contextualSpacing w:val="0"/>
              <w:rPr>
                <w:sz w:val="22"/>
                <w:szCs w:val="22"/>
                <w:lang w:val="en-US"/>
              </w:rPr>
            </w:pPr>
            <w:r w:rsidRPr="00201618">
              <w:rPr>
                <w:sz w:val="22"/>
                <w:szCs w:val="22"/>
                <w:lang w:val="en-US"/>
              </w:rPr>
              <w:t xml:space="preserve">Incoming Sponsorship opportunities have a monetary value and therefore CIT should ‘test the market’ when seeking sponsors. This also provides equality of opportunity to potential sponsors. Whilst public tendering or advertising for expression of interest is the most appropriate method, it may not suit </w:t>
            </w:r>
            <w:r w:rsidR="5494DE85" w:rsidRPr="00201618">
              <w:rPr>
                <w:sz w:val="22"/>
                <w:szCs w:val="22"/>
                <w:lang w:val="en-US"/>
              </w:rPr>
              <w:t>all</w:t>
            </w:r>
            <w:r w:rsidRPr="00201618">
              <w:rPr>
                <w:sz w:val="22"/>
                <w:szCs w:val="22"/>
                <w:lang w:val="en-US"/>
              </w:rPr>
              <w:t xml:space="preserve"> circumstances. For example, the risk of losing opportunities due to the time taken by such a process may require a different approach. </w:t>
            </w:r>
          </w:p>
          <w:p w14:paraId="52F4D9AB" w14:textId="5EC28E34" w:rsidR="00DA5F75" w:rsidRPr="00201618" w:rsidRDefault="3D1BB196" w:rsidP="5F5F58AF">
            <w:pPr>
              <w:pStyle w:val="Policy-BodyText"/>
              <w:numPr>
                <w:ilvl w:val="1"/>
                <w:numId w:val="0"/>
              </w:numPr>
              <w:tabs>
                <w:tab w:val="num" w:pos="1277"/>
              </w:tabs>
              <w:spacing w:before="120" w:after="120"/>
              <w:contextualSpacing w:val="0"/>
              <w:rPr>
                <w:sz w:val="22"/>
                <w:szCs w:val="22"/>
                <w:lang w:val="en-US"/>
              </w:rPr>
            </w:pPr>
            <w:r w:rsidRPr="00201618">
              <w:rPr>
                <w:sz w:val="22"/>
                <w:szCs w:val="22"/>
                <w:lang w:val="en-US"/>
              </w:rPr>
              <w:t xml:space="preserve">In some </w:t>
            </w:r>
            <w:r w:rsidR="5C8B71E7" w:rsidRPr="00201618">
              <w:rPr>
                <w:sz w:val="22"/>
                <w:szCs w:val="22"/>
                <w:lang w:val="en-US"/>
              </w:rPr>
              <w:t>cases,</w:t>
            </w:r>
            <w:r w:rsidRPr="00201618">
              <w:rPr>
                <w:sz w:val="22"/>
                <w:szCs w:val="22"/>
                <w:lang w:val="en-US"/>
              </w:rPr>
              <w:t xml:space="preserve"> dealing directly with </w:t>
            </w:r>
            <w:r w:rsidR="504A2DAD" w:rsidRPr="00201618">
              <w:rPr>
                <w:sz w:val="22"/>
                <w:szCs w:val="22"/>
                <w:lang w:val="en-US"/>
              </w:rPr>
              <w:t>potential</w:t>
            </w:r>
            <w:r w:rsidRPr="00201618">
              <w:rPr>
                <w:sz w:val="22"/>
                <w:szCs w:val="22"/>
                <w:lang w:val="en-US"/>
              </w:rPr>
              <w:t xml:space="preserve"> sponsors through direct approach, for example when the activity would be likely to be of interest only to one potential sponsor, may be more beneficial. Direct approaches may also be required where there is insufficient response to an advertisement. Appropriate records of the circumstances, decision making processes and corruption risk mitigation must be kept when sponsorship opportunities are not offered widely.</w:t>
            </w:r>
          </w:p>
        </w:tc>
      </w:tr>
      <w:tr w:rsidR="00DA5F75" w:rsidRPr="00201618" w14:paraId="212FDA1D" w14:textId="77777777" w:rsidTr="00E52BA5">
        <w:tc>
          <w:tcPr>
            <w:tcW w:w="1599" w:type="pct"/>
          </w:tcPr>
          <w:p w14:paraId="7E72040F" w14:textId="77777777" w:rsidR="00DA5F75" w:rsidRPr="00201618" w:rsidRDefault="3D1BB196" w:rsidP="00201618">
            <w:pPr>
              <w:pStyle w:val="Policy-BodyText"/>
              <w:numPr>
                <w:ilvl w:val="0"/>
                <w:numId w:val="7"/>
              </w:numPr>
              <w:spacing w:before="120" w:after="120"/>
              <w:ind w:left="600" w:hanging="567"/>
              <w:contextualSpacing w:val="0"/>
              <w:rPr>
                <w:sz w:val="22"/>
                <w:szCs w:val="22"/>
                <w:lang w:val="en-US"/>
              </w:rPr>
            </w:pPr>
            <w:r w:rsidRPr="00201618">
              <w:rPr>
                <w:sz w:val="22"/>
                <w:szCs w:val="22"/>
                <w:lang w:val="en-US"/>
              </w:rPr>
              <w:t>Public sector agencies should assess sponsorship proposals against predetermined assessment criteria which have been published in advance and are circulated to organisations that submit an expression of interest.</w:t>
            </w:r>
          </w:p>
        </w:tc>
        <w:tc>
          <w:tcPr>
            <w:tcW w:w="3401" w:type="pct"/>
          </w:tcPr>
          <w:p w14:paraId="7712A423" w14:textId="386E8DC8" w:rsidR="00DA5F75" w:rsidRPr="00201618" w:rsidRDefault="3D1BB196" w:rsidP="5F5F58AF">
            <w:pPr>
              <w:pStyle w:val="Policy-BodyText"/>
              <w:numPr>
                <w:ilvl w:val="1"/>
                <w:numId w:val="0"/>
              </w:numPr>
              <w:tabs>
                <w:tab w:val="num" w:pos="1277"/>
              </w:tabs>
              <w:spacing w:before="120" w:after="120"/>
              <w:contextualSpacing w:val="0"/>
              <w:rPr>
                <w:sz w:val="22"/>
                <w:szCs w:val="22"/>
                <w:lang w:val="en-US"/>
              </w:rPr>
            </w:pPr>
            <w:r w:rsidRPr="00201618">
              <w:rPr>
                <w:sz w:val="22"/>
                <w:szCs w:val="22"/>
                <w:lang w:val="en-US"/>
              </w:rPr>
              <w:t xml:space="preserve">As noted above predetermined assessment criteria should be made available to prospective applicants as required and for Incoming Sponsorship included on the CIT website as relevant. These criteria are to be developed for each business unit as relevant to their specific objectives. </w:t>
            </w:r>
          </w:p>
        </w:tc>
      </w:tr>
      <w:tr w:rsidR="00DA5F75" w:rsidRPr="00201618" w14:paraId="5F796F8B" w14:textId="77777777" w:rsidTr="00E52BA5">
        <w:tc>
          <w:tcPr>
            <w:tcW w:w="1599" w:type="pct"/>
          </w:tcPr>
          <w:p w14:paraId="43CF46B4" w14:textId="0441FF23" w:rsidR="00DA5F75" w:rsidRPr="00201618" w:rsidRDefault="3D1BB196" w:rsidP="00201618">
            <w:pPr>
              <w:pStyle w:val="Policy-BodyText"/>
              <w:numPr>
                <w:ilvl w:val="0"/>
                <w:numId w:val="7"/>
              </w:numPr>
              <w:spacing w:before="120" w:after="120"/>
              <w:ind w:left="600" w:hanging="567"/>
              <w:contextualSpacing w:val="0"/>
              <w:rPr>
                <w:sz w:val="22"/>
                <w:szCs w:val="22"/>
                <w:lang w:val="en-US"/>
              </w:rPr>
            </w:pPr>
            <w:r w:rsidRPr="00201618">
              <w:rPr>
                <w:sz w:val="22"/>
                <w:szCs w:val="22"/>
                <w:lang w:val="en-US"/>
              </w:rPr>
              <w:t>A sponsorship arrangement is a contract and should be described in a written agreement.</w:t>
            </w:r>
          </w:p>
        </w:tc>
        <w:tc>
          <w:tcPr>
            <w:tcW w:w="3401" w:type="pct"/>
          </w:tcPr>
          <w:p w14:paraId="01D83BC4" w14:textId="51BF68B8" w:rsidR="00DA5F75" w:rsidRPr="00201618" w:rsidRDefault="3D1BB196" w:rsidP="5F5F58AF">
            <w:pPr>
              <w:pStyle w:val="Policy-BodyText"/>
              <w:numPr>
                <w:ilvl w:val="1"/>
                <w:numId w:val="0"/>
              </w:numPr>
              <w:tabs>
                <w:tab w:val="num" w:pos="1277"/>
              </w:tabs>
              <w:spacing w:before="120" w:after="120"/>
              <w:contextualSpacing w:val="0"/>
              <w:rPr>
                <w:sz w:val="22"/>
                <w:szCs w:val="22"/>
                <w:lang w:val="en-US"/>
              </w:rPr>
            </w:pPr>
            <w:r w:rsidRPr="00201618">
              <w:rPr>
                <w:sz w:val="22"/>
                <w:szCs w:val="22"/>
                <w:lang w:val="en-US"/>
              </w:rPr>
              <w:t xml:space="preserve">Sponsorship agreements are legally binding contracts and should be prepared in the formats specified in Section </w:t>
            </w:r>
            <w:r w:rsidR="3CB2A690" w:rsidRPr="00201618">
              <w:rPr>
                <w:sz w:val="22"/>
                <w:szCs w:val="22"/>
                <w:lang w:val="en-US"/>
              </w:rPr>
              <w:t>5</w:t>
            </w:r>
            <w:r w:rsidRPr="00201618">
              <w:rPr>
                <w:sz w:val="22"/>
                <w:szCs w:val="22"/>
                <w:lang w:val="en-US"/>
              </w:rPr>
              <w:t>. The more complex or valuable the sponsorship, the more detailed the agreement should be. Agreements ensure there is recourse for resolution of disputes for more detailed sponsorship arrangements (should they arise).</w:t>
            </w:r>
          </w:p>
        </w:tc>
      </w:tr>
      <w:tr w:rsidR="00DA5F75" w:rsidRPr="00201618" w14:paraId="10955B3B" w14:textId="77777777" w:rsidTr="00E52BA5">
        <w:tc>
          <w:tcPr>
            <w:tcW w:w="1599" w:type="pct"/>
          </w:tcPr>
          <w:p w14:paraId="50B9212E" w14:textId="37214C49" w:rsidR="00DA5F75" w:rsidRPr="00201618" w:rsidRDefault="3D1BB196" w:rsidP="00201618">
            <w:pPr>
              <w:pStyle w:val="Policy-BodyText"/>
              <w:numPr>
                <w:ilvl w:val="0"/>
                <w:numId w:val="7"/>
              </w:numPr>
              <w:spacing w:before="120" w:after="120"/>
              <w:ind w:left="600" w:hanging="567"/>
              <w:contextualSpacing w:val="0"/>
              <w:rPr>
                <w:sz w:val="22"/>
                <w:szCs w:val="22"/>
                <w:lang w:val="en-US"/>
              </w:rPr>
            </w:pPr>
            <w:r w:rsidRPr="00201618">
              <w:rPr>
                <w:sz w:val="22"/>
                <w:szCs w:val="22"/>
                <w:lang w:val="en-US"/>
              </w:rPr>
              <w:lastRenderedPageBreak/>
              <w:t>All sponsorship arrangements should be approved by the CEO or another designated senior officer of the agency and described in the agency’s annual report in a form commensurate with the significance of the sponsorship.</w:t>
            </w:r>
          </w:p>
        </w:tc>
        <w:tc>
          <w:tcPr>
            <w:tcW w:w="3401" w:type="pct"/>
          </w:tcPr>
          <w:p w14:paraId="4E228109" w14:textId="77777777" w:rsidR="00623096" w:rsidRPr="00201618" w:rsidRDefault="3D1BB196" w:rsidP="5F5F58AF">
            <w:pPr>
              <w:pStyle w:val="Policy-BodyText"/>
              <w:numPr>
                <w:ilvl w:val="1"/>
                <w:numId w:val="0"/>
              </w:numPr>
              <w:tabs>
                <w:tab w:val="num" w:pos="1277"/>
              </w:tabs>
              <w:spacing w:before="120" w:after="120"/>
              <w:contextualSpacing w:val="0"/>
              <w:rPr>
                <w:sz w:val="22"/>
                <w:szCs w:val="22"/>
                <w:lang w:val="en-US"/>
              </w:rPr>
            </w:pPr>
            <w:r w:rsidRPr="00201618">
              <w:rPr>
                <w:sz w:val="22"/>
                <w:szCs w:val="22"/>
                <w:lang w:val="en-US"/>
              </w:rPr>
              <w:t xml:space="preserve">Section </w:t>
            </w:r>
            <w:r w:rsidR="3CB2A690" w:rsidRPr="00201618">
              <w:rPr>
                <w:sz w:val="22"/>
                <w:szCs w:val="22"/>
                <w:lang w:val="en-US"/>
              </w:rPr>
              <w:t>5</w:t>
            </w:r>
            <w:r w:rsidRPr="00201618">
              <w:rPr>
                <w:sz w:val="22"/>
                <w:szCs w:val="22"/>
                <w:lang w:val="en-US"/>
              </w:rPr>
              <w:t xml:space="preserve"> describes the responsibility for the approval of sponsorship arrangements and agreements in CIT. </w:t>
            </w:r>
          </w:p>
          <w:p w14:paraId="5A3C70BA" w14:textId="77777777" w:rsidR="00112457" w:rsidRPr="00201618" w:rsidRDefault="3D1BB196" w:rsidP="5F5F58AF">
            <w:pPr>
              <w:pStyle w:val="Policy-BodyText"/>
              <w:numPr>
                <w:ilvl w:val="1"/>
                <w:numId w:val="0"/>
              </w:numPr>
              <w:tabs>
                <w:tab w:val="num" w:pos="1277"/>
              </w:tabs>
              <w:spacing w:before="120" w:after="120"/>
              <w:contextualSpacing w:val="0"/>
              <w:rPr>
                <w:sz w:val="22"/>
                <w:szCs w:val="22"/>
                <w:lang w:val="en-US"/>
              </w:rPr>
            </w:pPr>
            <w:r w:rsidRPr="00201618">
              <w:rPr>
                <w:sz w:val="22"/>
                <w:szCs w:val="22"/>
                <w:lang w:val="en-US"/>
              </w:rPr>
              <w:t xml:space="preserve">Assessment processes and reasons behind all decisions made should be documented. </w:t>
            </w:r>
          </w:p>
          <w:p w14:paraId="693AD1F4" w14:textId="50C760F9" w:rsidR="00DA5F75" w:rsidRPr="00201618" w:rsidRDefault="3D1BB196" w:rsidP="5F5F58AF">
            <w:pPr>
              <w:pStyle w:val="Policy-BodyText"/>
              <w:numPr>
                <w:ilvl w:val="1"/>
                <w:numId w:val="0"/>
              </w:numPr>
              <w:tabs>
                <w:tab w:val="num" w:pos="1277"/>
              </w:tabs>
              <w:spacing w:before="120" w:after="120"/>
              <w:contextualSpacing w:val="0"/>
              <w:rPr>
                <w:sz w:val="22"/>
                <w:szCs w:val="22"/>
                <w:lang w:val="en-US"/>
              </w:rPr>
            </w:pPr>
            <w:r w:rsidRPr="00201618">
              <w:rPr>
                <w:sz w:val="22"/>
                <w:szCs w:val="22"/>
                <w:lang w:val="en-US"/>
              </w:rPr>
              <w:t xml:space="preserve">The Chief Minister’s Annual Report Directions have not to date required reporting of the specifics of incoming sponsorship. </w:t>
            </w:r>
            <w:r w:rsidR="1F82DAE5" w:rsidRPr="00201618">
              <w:rPr>
                <w:sz w:val="22"/>
                <w:szCs w:val="22"/>
                <w:lang w:val="en-US"/>
              </w:rPr>
              <w:t>Therefore,</w:t>
            </w:r>
            <w:r w:rsidRPr="00201618">
              <w:rPr>
                <w:sz w:val="22"/>
                <w:szCs w:val="22"/>
                <w:lang w:val="en-US"/>
              </w:rPr>
              <w:t xml:space="preserve"> this Principle is not fully adhered to by CIT at present.</w:t>
            </w:r>
          </w:p>
        </w:tc>
      </w:tr>
    </w:tbl>
    <w:p w14:paraId="27687B84" w14:textId="5BE15EB1" w:rsidR="00865669" w:rsidRPr="00201618" w:rsidRDefault="00865669" w:rsidP="6058FC22">
      <w:pPr>
        <w:pStyle w:val="Policy-BodyText"/>
        <w:numPr>
          <w:ilvl w:val="1"/>
          <w:numId w:val="0"/>
        </w:numPr>
        <w:spacing w:before="120" w:after="120"/>
        <w:ind w:left="710"/>
        <w:contextualSpacing w:val="0"/>
        <w:rPr>
          <w:b/>
          <w:bCs/>
          <w:i/>
          <w:iCs/>
          <w:sz w:val="22"/>
          <w:szCs w:val="22"/>
          <w:lang w:val="en-US"/>
        </w:rPr>
      </w:pPr>
    </w:p>
    <w:p w14:paraId="14ED6D0D" w14:textId="77777777" w:rsidR="00DA5F75" w:rsidRDefault="00DA5F75" w:rsidP="6058FC22">
      <w:pPr>
        <w:pStyle w:val="Policy-BodyText"/>
        <w:numPr>
          <w:ilvl w:val="1"/>
          <w:numId w:val="0"/>
        </w:numPr>
        <w:spacing w:before="120" w:after="120"/>
        <w:ind w:left="710"/>
        <w:contextualSpacing w:val="0"/>
        <w:rPr>
          <w:b/>
          <w:bCs/>
          <w:i/>
          <w:iCs/>
          <w:lang w:val="en-US"/>
        </w:rPr>
      </w:pPr>
    </w:p>
    <w:p w14:paraId="729A5C13" w14:textId="77777777" w:rsidR="00865669" w:rsidRPr="00865669" w:rsidRDefault="00865669" w:rsidP="6058FC22">
      <w:pPr>
        <w:pStyle w:val="Policy-BodyText"/>
        <w:numPr>
          <w:ilvl w:val="1"/>
          <w:numId w:val="0"/>
        </w:numPr>
        <w:spacing w:before="120" w:after="120"/>
        <w:ind w:left="710"/>
        <w:contextualSpacing w:val="0"/>
        <w:rPr>
          <w:rFonts w:asciiTheme="minorHAnsi" w:hAnsiTheme="minorHAnsi"/>
          <w:b/>
          <w:bCs/>
          <w:i/>
          <w:iCs/>
        </w:rPr>
      </w:pPr>
    </w:p>
    <w:sectPr w:rsidR="00865669" w:rsidRPr="00865669" w:rsidSect="00E52BA5">
      <w:pgSz w:w="16838" w:h="11906" w:orient="landscape"/>
      <w:pgMar w:top="1106" w:right="1276" w:bottom="1418" w:left="1276" w:header="709" w:footer="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626F6" w14:textId="77777777" w:rsidR="00B872C9" w:rsidRDefault="00B872C9">
      <w:r>
        <w:separator/>
      </w:r>
    </w:p>
  </w:endnote>
  <w:endnote w:type="continuationSeparator" w:id="0">
    <w:p w14:paraId="0F3C8C2B" w14:textId="77777777" w:rsidR="00B872C9" w:rsidRDefault="00B87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utura-Light">
    <w:altName w:val="Times New Roman"/>
    <w:charset w:val="00"/>
    <w:family w:val="auto"/>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26629" w14:textId="77777777" w:rsidR="005024FD" w:rsidRDefault="00502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7408A" w14:textId="560F8F7E" w:rsidR="005024FD" w:rsidRDefault="005024FD" w:rsidP="005024FD">
    <w:pPr>
      <w:pStyle w:val="NoSpacing"/>
      <w:rPr>
        <w:rFonts w:asciiTheme="minorHAnsi" w:hAnsiTheme="minorHAnsi"/>
        <w:sz w:val="20"/>
        <w:szCs w:val="20"/>
      </w:rPr>
    </w:pPr>
    <w:r w:rsidRPr="00010E41">
      <w:rPr>
        <w:rFonts w:asciiTheme="minorHAnsi" w:hAnsiTheme="minorHAnsi"/>
        <w:noProof/>
        <w:sz w:val="20"/>
        <w:szCs w:val="20"/>
      </w:rPr>
      <mc:AlternateContent>
        <mc:Choice Requires="wps">
          <w:drawing>
            <wp:anchor distT="4294967295" distB="4294967295" distL="114300" distR="114300" simplePos="0" relativeHeight="251659264" behindDoc="0" locked="0" layoutInCell="1" allowOverlap="1" wp14:anchorId="50969AD9" wp14:editId="3CBF4FFF">
              <wp:simplePos x="0" y="0"/>
              <wp:positionH relativeFrom="column">
                <wp:posOffset>-34290</wp:posOffset>
              </wp:positionH>
              <wp:positionV relativeFrom="paragraph">
                <wp:posOffset>-43816</wp:posOffset>
              </wp:positionV>
              <wp:extent cx="577088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0880" cy="0"/>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7C501E3"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45pt" to="451.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" strokecolor="windowText" strokeweight=".5pt">
              <o:lock v:ext="edit" shapetype="f"/>
            </v:line>
          </w:pict>
        </mc:Fallback>
      </mc:AlternateContent>
    </w:r>
    <w:r>
      <w:rPr>
        <w:rFonts w:asciiTheme="minorHAnsi" w:hAnsiTheme="minorHAnsi"/>
        <w:sz w:val="20"/>
        <w:szCs w:val="20"/>
      </w:rPr>
      <w:t xml:space="preserve">Policy Owner: </w:t>
    </w:r>
    <w:sdt>
      <w:sdtPr>
        <w:rPr>
          <w:rFonts w:asciiTheme="minorHAnsi" w:hAnsiTheme="minorHAnsi"/>
          <w:sz w:val="20"/>
          <w:szCs w:val="20"/>
        </w:rPr>
        <w:alias w:val="Policy Owner"/>
        <w:tag w:val="Policy Owner"/>
        <w:id w:val="1566526907"/>
        <w:placeholder>
          <w:docPart w:val="57977BA9E40C44BF8FF1AEA01B12916F"/>
        </w:placeholder>
        <w:comboBox>
          <w:listItem w:value="Choose an item."/>
          <w:listItem w:displayText="Executive Director Corporate Services" w:value="Executive Director Corporate Services"/>
          <w:listItem w:displayText="Executive Director Education and Training Services" w:value="Executive Director Education and Training Services"/>
        </w:comboBox>
      </w:sdtPr>
      <w:sdtEndPr/>
      <w:sdtContent>
        <w:r w:rsidRPr="00BA4940">
          <w:rPr>
            <w:rFonts w:asciiTheme="minorHAnsi" w:hAnsiTheme="minorHAnsi"/>
            <w:sz w:val="20"/>
            <w:szCs w:val="20"/>
          </w:rPr>
          <w:t>Executive Director</w:t>
        </w:r>
        <w:r>
          <w:rPr>
            <w:rFonts w:asciiTheme="minorHAnsi" w:hAnsiTheme="minorHAnsi"/>
            <w:sz w:val="20"/>
            <w:szCs w:val="20"/>
          </w:rPr>
          <w:t>,</w:t>
        </w:r>
        <w:r w:rsidRPr="00BA4940">
          <w:rPr>
            <w:rFonts w:asciiTheme="minorHAnsi" w:hAnsiTheme="minorHAnsi"/>
            <w:sz w:val="20"/>
            <w:szCs w:val="20"/>
          </w:rPr>
          <w:t xml:space="preserve"> Industry Engagement and Strategic Relations</w:t>
        </w:r>
      </w:sdtContent>
    </w:sdt>
    <w:r>
      <w:rPr>
        <w:rFonts w:asciiTheme="minorHAnsi" w:hAnsiTheme="minorHAnsi"/>
        <w:sz w:val="20"/>
        <w:szCs w:val="20"/>
      </w:rPr>
      <w:tab/>
    </w:r>
    <w:r>
      <w:rPr>
        <w:rFonts w:asciiTheme="minorHAnsi" w:hAnsiTheme="minorHAnsi"/>
        <w:sz w:val="20"/>
        <w:szCs w:val="20"/>
      </w:rPr>
      <w:tab/>
    </w:r>
  </w:p>
  <w:p w14:paraId="5993BD2E" w14:textId="007AC1C4" w:rsidR="005024FD" w:rsidRDefault="005024FD" w:rsidP="005024FD">
    <w:pPr>
      <w:pStyle w:val="NoSpacing"/>
      <w:rPr>
        <w:rFonts w:asciiTheme="minorHAnsi" w:hAnsiTheme="minorHAnsi"/>
        <w:sz w:val="20"/>
        <w:szCs w:val="20"/>
      </w:rPr>
    </w:pPr>
    <w:r>
      <w:rPr>
        <w:rFonts w:asciiTheme="minorHAnsi" w:hAnsiTheme="minorHAnsi"/>
        <w:sz w:val="20"/>
        <w:szCs w:val="20"/>
      </w:rPr>
      <w:t>N</w:t>
    </w:r>
    <w:r w:rsidRPr="00010E41">
      <w:rPr>
        <w:rFonts w:asciiTheme="minorHAnsi" w:hAnsiTheme="minorHAnsi"/>
        <w:sz w:val="20"/>
        <w:szCs w:val="20"/>
      </w:rPr>
      <w:t xml:space="preserve">ext </w:t>
    </w:r>
    <w:r>
      <w:rPr>
        <w:rFonts w:asciiTheme="minorHAnsi" w:hAnsiTheme="minorHAnsi"/>
        <w:sz w:val="20"/>
        <w:szCs w:val="20"/>
      </w:rPr>
      <w:t>R</w:t>
    </w:r>
    <w:r w:rsidRPr="00010E41">
      <w:rPr>
        <w:rFonts w:asciiTheme="minorHAnsi" w:hAnsiTheme="minorHAnsi"/>
        <w:sz w:val="20"/>
        <w:szCs w:val="20"/>
      </w:rPr>
      <w:t>eview</w:t>
    </w:r>
    <w:r>
      <w:rPr>
        <w:rFonts w:asciiTheme="minorHAnsi" w:hAnsiTheme="minorHAnsi"/>
        <w:sz w:val="20"/>
        <w:szCs w:val="20"/>
      </w:rPr>
      <w:t xml:space="preserve"> Due Date:  </w:t>
    </w:r>
    <w:sdt>
      <w:sdtPr>
        <w:rPr>
          <w:rFonts w:asciiTheme="minorHAnsi" w:hAnsiTheme="minorHAnsi"/>
          <w:sz w:val="20"/>
          <w:szCs w:val="20"/>
        </w:rPr>
        <w:alias w:val="Next Review Date"/>
        <w:tag w:val="Next Review Date"/>
        <w:id w:val="1588426352"/>
        <w:placeholder>
          <w:docPart w:val="CB41592DB3EC4E3AA4F7F4D891F2FD8F"/>
        </w:placeholder>
        <w:date w:fullDate="2021-07-01T00:00:00Z">
          <w:dateFormat w:val="d/MM/yyyy"/>
          <w:lid w:val="en-AU"/>
          <w:storeMappedDataAs w:val="dateTime"/>
          <w:calendar w:val="gregorian"/>
        </w:date>
      </w:sdtPr>
      <w:sdtEndPr/>
      <w:sdtContent>
        <w:r>
          <w:rPr>
            <w:rFonts w:asciiTheme="minorHAnsi" w:hAnsiTheme="minorHAnsi"/>
            <w:sz w:val="20"/>
            <w:szCs w:val="20"/>
          </w:rPr>
          <w:t>1/07/2021</w:t>
        </w:r>
      </w:sdtContent>
    </w:sdt>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AA006D">
      <w:rPr>
        <w:rFonts w:asciiTheme="minorHAnsi" w:hAnsiTheme="minorHAnsi"/>
        <w:sz w:val="20"/>
        <w:szCs w:val="20"/>
      </w:rPr>
      <w:tab/>
    </w:r>
    <w:r w:rsidR="00AA006D">
      <w:rPr>
        <w:rFonts w:asciiTheme="minorHAnsi" w:hAnsiTheme="minorHAnsi"/>
        <w:sz w:val="20"/>
        <w:szCs w:val="20"/>
      </w:rPr>
      <w:tab/>
    </w:r>
  </w:p>
  <w:p w14:paraId="13CD7FC1" w14:textId="77777777" w:rsidR="005024FD" w:rsidRDefault="005024FD" w:rsidP="005024FD">
    <w:pPr>
      <w:pStyle w:val="NoSpacing"/>
      <w:rPr>
        <w:rFonts w:asciiTheme="minorHAnsi" w:hAnsiTheme="minorHAnsi"/>
        <w:sz w:val="20"/>
        <w:szCs w:val="20"/>
      </w:rPr>
    </w:pPr>
    <w:r>
      <w:rPr>
        <w:rFonts w:asciiTheme="minorHAnsi" w:hAnsiTheme="minorHAnsi"/>
        <w:sz w:val="20"/>
        <w:szCs w:val="20"/>
      </w:rPr>
      <w:t>TRIM Number: CIT19/50668</w:t>
    </w:r>
  </w:p>
  <w:p w14:paraId="4DAAD41F" w14:textId="21446828" w:rsidR="005024FD" w:rsidRDefault="005024FD" w:rsidP="005024FD">
    <w:pPr>
      <w:pStyle w:val="NoSpacing"/>
      <w:rPr>
        <w:rFonts w:asciiTheme="minorHAnsi" w:hAnsiTheme="minorHAnsi"/>
        <w:sz w:val="20"/>
        <w:szCs w:val="20"/>
      </w:rPr>
    </w:pPr>
    <w:r>
      <w:rPr>
        <w:rFonts w:asciiTheme="minorHAnsi" w:hAnsiTheme="minorHAnsi"/>
        <w:sz w:val="20"/>
        <w:szCs w:val="20"/>
      </w:rPr>
      <w:t xml:space="preserve">Category: </w:t>
    </w:r>
    <w:sdt>
      <w:sdtPr>
        <w:rPr>
          <w:rFonts w:asciiTheme="minorHAnsi" w:hAnsiTheme="minorHAnsi"/>
          <w:sz w:val="20"/>
          <w:szCs w:val="20"/>
        </w:rPr>
        <w:alias w:val="Policy Category"/>
        <w:tag w:val="Policy Category"/>
        <w:id w:val="258181129"/>
        <w:placeholder>
          <w:docPart w:val="57977BA9E40C44BF8FF1AEA01B12916F"/>
        </w:placeholder>
        <w:comboBox>
          <w:listItem w:value="Choose an item."/>
          <w:listItem w:displayText="Student" w:value="Student"/>
          <w:listItem w:displayText="Teaching and Learning" w:value="Teaching and Learning"/>
          <w:listItem w:displayText="Staff" w:value="Staff"/>
          <w:listItem w:displayText="Corporate" w:value="Corporate"/>
        </w:comboBox>
      </w:sdtPr>
      <w:sdtEndPr/>
      <w:sdtContent>
        <w:r>
          <w:rPr>
            <w:rFonts w:asciiTheme="minorHAnsi" w:hAnsiTheme="minorHAnsi"/>
            <w:sz w:val="20"/>
            <w:szCs w:val="20"/>
          </w:rPr>
          <w:t>Corporate</w:t>
        </w:r>
      </w:sdtContent>
    </w:sdt>
    <w:r>
      <w:rPr>
        <w:rFonts w:asciiTheme="minorHAnsi" w:hAnsiTheme="minorHAnsi"/>
        <w:sz w:val="20"/>
        <w:szCs w:val="20"/>
      </w:rPr>
      <w:tab/>
    </w:r>
    <w:r w:rsidR="00187317">
      <w:rPr>
        <w:rFonts w:asciiTheme="minorHAnsi" w:hAnsiTheme="minorHAnsi"/>
        <w:sz w:val="20"/>
        <w:szCs w:val="20"/>
      </w:rPr>
      <w:tab/>
    </w:r>
    <w:r w:rsidR="00187317">
      <w:rPr>
        <w:rFonts w:asciiTheme="minorHAnsi" w:hAnsiTheme="minorHAnsi"/>
        <w:sz w:val="20"/>
        <w:szCs w:val="20"/>
      </w:rPr>
      <w:tab/>
    </w:r>
    <w:r w:rsidR="00187317">
      <w:rPr>
        <w:rFonts w:asciiTheme="minorHAnsi" w:hAnsiTheme="minorHAnsi"/>
        <w:sz w:val="20"/>
        <w:szCs w:val="20"/>
      </w:rPr>
      <w:tab/>
    </w:r>
    <w:r w:rsidR="00187317">
      <w:rPr>
        <w:rFonts w:asciiTheme="minorHAnsi" w:hAnsiTheme="minorHAnsi"/>
        <w:sz w:val="20"/>
        <w:szCs w:val="20"/>
      </w:rPr>
      <w:tab/>
    </w:r>
    <w:r w:rsidR="00187317">
      <w:rPr>
        <w:rFonts w:asciiTheme="minorHAnsi" w:hAnsiTheme="minorHAnsi"/>
        <w:sz w:val="20"/>
        <w:szCs w:val="20"/>
      </w:rPr>
      <w:tab/>
    </w:r>
    <w:r w:rsidR="00187317">
      <w:rPr>
        <w:rFonts w:asciiTheme="minorHAnsi" w:hAnsiTheme="minorHAnsi"/>
        <w:sz w:val="20"/>
        <w:szCs w:val="20"/>
      </w:rPr>
      <w:tab/>
      <w:t>Approval Date: 29 July 2020</w:t>
    </w:r>
    <w:r>
      <w:rPr>
        <w:rFonts w:asciiTheme="minorHAnsi" w:hAnsiTheme="minorHAnsi"/>
        <w:sz w:val="20"/>
        <w:szCs w:val="20"/>
      </w:rPr>
      <w:t xml:space="preserve"> </w:t>
    </w:r>
    <w:r>
      <w:rPr>
        <w:rFonts w:asciiTheme="minorHAnsi" w:hAnsiTheme="minorHAnsi"/>
        <w:sz w:val="20"/>
        <w:szCs w:val="20"/>
      </w:rPr>
      <w:tab/>
    </w:r>
  </w:p>
  <w:p w14:paraId="2D988E44" w14:textId="3B06C077" w:rsidR="005024FD" w:rsidRPr="00010E41" w:rsidRDefault="005024FD" w:rsidP="005024FD">
    <w:pPr>
      <w:pStyle w:val="NoSpacing"/>
      <w:rPr>
        <w:rFonts w:asciiTheme="minorHAnsi" w:hAnsiTheme="minorHAnsi"/>
        <w:sz w:val="20"/>
        <w:szCs w:val="20"/>
      </w:rPr>
    </w:pPr>
    <w:r>
      <w:rPr>
        <w:rFonts w:asciiTheme="minorHAnsi" w:hAnsiTheme="minorHAnsi"/>
        <w:sz w:val="20"/>
        <w:szCs w:val="20"/>
      </w:rPr>
      <w:t>Approval for Open Access: Yes</w:t>
    </w:r>
    <w:r>
      <w:rPr>
        <w:rFonts w:asciiTheme="minorHAnsi" w:hAnsiTheme="minorHAnsi"/>
        <w:sz w:val="20"/>
        <w:szCs w:val="20"/>
      </w:rPr>
      <w:tab/>
    </w:r>
    <w:r w:rsidR="00187317">
      <w:rPr>
        <w:rFonts w:asciiTheme="minorHAnsi" w:hAnsiTheme="minorHAnsi"/>
        <w:sz w:val="20"/>
        <w:szCs w:val="20"/>
      </w:rPr>
      <w:tab/>
    </w:r>
    <w:r w:rsidR="00187317">
      <w:rPr>
        <w:rFonts w:asciiTheme="minorHAnsi" w:hAnsiTheme="minorHAnsi"/>
        <w:sz w:val="20"/>
        <w:szCs w:val="20"/>
      </w:rPr>
      <w:tab/>
    </w:r>
    <w:r w:rsidR="00187317">
      <w:rPr>
        <w:rFonts w:asciiTheme="minorHAnsi" w:hAnsiTheme="minorHAnsi"/>
        <w:sz w:val="20"/>
        <w:szCs w:val="20"/>
      </w:rPr>
      <w:tab/>
    </w:r>
    <w:r w:rsidR="00187317">
      <w:rPr>
        <w:rFonts w:asciiTheme="minorHAnsi" w:hAnsiTheme="minorHAnsi"/>
        <w:sz w:val="20"/>
        <w:szCs w:val="20"/>
      </w:rPr>
      <w:tab/>
    </w:r>
    <w:r w:rsidR="00187317">
      <w:rPr>
        <w:rFonts w:asciiTheme="minorHAnsi" w:hAnsiTheme="minorHAnsi"/>
        <w:sz w:val="20"/>
        <w:szCs w:val="20"/>
      </w:rPr>
      <w:tab/>
      <w:t>Version:</w:t>
    </w:r>
    <w:r w:rsidR="00187317">
      <w:rPr>
        <w:rFonts w:asciiTheme="minorHAnsi" w:hAnsiTheme="minorHAnsi"/>
        <w:sz w:val="20"/>
        <w:szCs w:val="20"/>
      </w:rPr>
      <w:tab/>
      <w:t>V1</w:t>
    </w:r>
  </w:p>
  <w:p w14:paraId="35C73C48" w14:textId="7689EEB3" w:rsidR="009A7DB6" w:rsidRPr="00037F06" w:rsidRDefault="009A7DB6" w:rsidP="00730286">
    <w:pPr>
      <w:pStyle w:val="Footer"/>
      <w:rPr>
        <w:rStyle w:val="PageNumber"/>
        <w:rFonts w:ascii="Calibri" w:hAnsi="Calibri"/>
        <w:sz w:val="16"/>
        <w:szCs w:val="16"/>
      </w:rPr>
    </w:pPr>
    <w:r>
      <w:rPr>
        <w:rFonts w:asciiTheme="minorHAnsi" w:hAnsiTheme="minorHAnsi"/>
        <w:sz w:val="20"/>
        <w:szCs w:val="20"/>
      </w:rPr>
      <w:tab/>
    </w:r>
    <w:r>
      <w:rPr>
        <w:rFonts w:asciiTheme="minorHAnsi" w:hAnsiTheme="minorHAnsi"/>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0E28E" w14:textId="77777777" w:rsidR="005024FD" w:rsidRDefault="00502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CAE2D" w14:textId="77777777" w:rsidR="00B872C9" w:rsidRDefault="00B872C9">
      <w:r>
        <w:separator/>
      </w:r>
    </w:p>
  </w:footnote>
  <w:footnote w:type="continuationSeparator" w:id="0">
    <w:p w14:paraId="21B5EAB3" w14:textId="77777777" w:rsidR="00B872C9" w:rsidRDefault="00B87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8F24B" w14:textId="77777777" w:rsidR="005024FD" w:rsidRDefault="005024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D7BE5" w14:textId="77777777" w:rsidR="009A7DB6" w:rsidRPr="00E1096E" w:rsidRDefault="5F5F58AF" w:rsidP="00730286">
    <w:pPr>
      <w:pStyle w:val="Header"/>
      <w:jc w:val="right"/>
      <w:rPr>
        <w:rFonts w:ascii="Calibri" w:hAnsi="Calibri" w:cs="Calibri"/>
        <w:sz w:val="16"/>
        <w:szCs w:val="16"/>
      </w:rPr>
    </w:pPr>
    <w:r>
      <w:rPr>
        <w:noProof/>
      </w:rPr>
      <w:drawing>
        <wp:inline distT="0" distB="0" distL="0" distR="0" wp14:anchorId="46F3BDF9" wp14:editId="4C724ED0">
          <wp:extent cx="2089660" cy="427377"/>
          <wp:effectExtent l="0" t="0" r="6350" b="0"/>
          <wp:docPr id="2" name="Picture 2" descr="https://staff.cit.edu.au/__data/assets/image/0009/46728/CIT_logo_inline_right_corner_dark_blue_R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89660" cy="427377"/>
                  </a:xfrm>
                  <a:prstGeom prst="rect">
                    <a:avLst/>
                  </a:prstGeom>
                </pic:spPr>
              </pic:pic>
            </a:graphicData>
          </a:graphic>
        </wp:inline>
      </w:drawing>
    </w:r>
  </w:p>
  <w:p w14:paraId="51C6AD73" w14:textId="77777777" w:rsidR="009A7DB6" w:rsidRPr="00875263" w:rsidRDefault="009A7DB6" w:rsidP="008752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7BF88" w14:textId="77777777" w:rsidR="005024FD" w:rsidRDefault="00502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34AE"/>
    <w:multiLevelType w:val="hybridMultilevel"/>
    <w:tmpl w:val="D932DD3C"/>
    <w:lvl w:ilvl="0" w:tplc="DA9EA268">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681DF9"/>
    <w:multiLevelType w:val="multilevel"/>
    <w:tmpl w:val="2820AB7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600" w:hanging="1440"/>
      </w:pPr>
      <w:rPr>
        <w:rFonts w:hint="default"/>
      </w:rPr>
    </w:lvl>
  </w:abstractNum>
  <w:abstractNum w:abstractNumId="2" w15:restartNumberingAfterBreak="0">
    <w:nsid w:val="0C9262D5"/>
    <w:multiLevelType w:val="hybridMultilevel"/>
    <w:tmpl w:val="BCA0E322"/>
    <w:lvl w:ilvl="0" w:tplc="0C090001">
      <w:start w:val="1"/>
      <w:numFmt w:val="bullet"/>
      <w:lvlText w:val=""/>
      <w:lvlJc w:val="left"/>
      <w:pPr>
        <w:ind w:left="1647" w:hanging="360"/>
      </w:pPr>
      <w:rPr>
        <w:rFonts w:ascii="Symbol" w:hAnsi="Symbol"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3" w15:restartNumberingAfterBreak="0">
    <w:nsid w:val="1DEF0D06"/>
    <w:multiLevelType w:val="multilevel"/>
    <w:tmpl w:val="9DE017D2"/>
    <w:lvl w:ilvl="0">
      <w:start w:val="1"/>
      <w:numFmt w:val="decimal"/>
      <w:pStyle w:val="PolicyHeading2-Accessible"/>
      <w:lvlText w:val="%1."/>
      <w:lvlJc w:val="left"/>
      <w:pPr>
        <w:tabs>
          <w:tab w:val="num" w:pos="567"/>
        </w:tabs>
        <w:ind w:left="0" w:firstLine="0"/>
      </w:pPr>
      <w:rPr>
        <w:rFonts w:ascii="Calibri" w:hAnsi="Calibri" w:hint="default"/>
        <w:sz w:val="24"/>
      </w:rPr>
    </w:lvl>
    <w:lvl w:ilvl="1">
      <w:start w:val="1"/>
      <w:numFmt w:val="decimal"/>
      <w:pStyle w:val="Policy-BodyText"/>
      <w:lvlText w:val="%1.%2."/>
      <w:lvlJc w:val="left"/>
      <w:pPr>
        <w:tabs>
          <w:tab w:val="num" w:pos="1277"/>
        </w:tabs>
        <w:ind w:left="710" w:firstLine="0"/>
      </w:pPr>
      <w:rPr>
        <w:b w:val="0"/>
        <w:sz w:val="24"/>
      </w:rPr>
    </w:lvl>
    <w:lvl w:ilvl="2">
      <w:start w:val="1"/>
      <w:numFmt w:val="decimal"/>
      <w:lvlText w:val="%1.%2.%3."/>
      <w:lvlJc w:val="left"/>
      <w:pPr>
        <w:tabs>
          <w:tab w:val="num" w:pos="680"/>
        </w:tabs>
        <w:ind w:left="0" w:firstLine="0"/>
      </w:pPr>
      <w:rPr>
        <w:sz w:val="24"/>
      </w:rPr>
    </w:lvl>
    <w:lvl w:ilvl="3">
      <w:start w:val="1"/>
      <w:numFmt w:val="decimal"/>
      <w:lvlText w:val="%1.%2.%3.%4."/>
      <w:lvlJc w:val="left"/>
      <w:pPr>
        <w:tabs>
          <w:tab w:val="num" w:pos="794"/>
        </w:tabs>
        <w:ind w:left="0" w:firstLine="0"/>
      </w:pPr>
      <w:rPr>
        <w:rFonts w:ascii="Calibri" w:hAnsi="Calibri" w:hint="default"/>
        <w:sz w:val="24"/>
      </w:rPr>
    </w:lvl>
    <w:lvl w:ilvl="4">
      <w:start w:val="1"/>
      <w:numFmt w:val="decimal"/>
      <w:lvlText w:val="%1.%2.%3.%4.%5."/>
      <w:lvlJc w:val="left"/>
      <w:pPr>
        <w:tabs>
          <w:tab w:val="num" w:pos="907"/>
        </w:tabs>
        <w:ind w:left="0" w:firstLine="0"/>
      </w:pPr>
      <w:rPr>
        <w:rFonts w:ascii="Calibri" w:hAnsi="Calibri" w:hint="default"/>
        <w:sz w:val="24"/>
      </w:rPr>
    </w:lvl>
    <w:lvl w:ilvl="5">
      <w:start w:val="1"/>
      <w:numFmt w:val="decimal"/>
      <w:lvlText w:val="%1.%2.%3.%4.%5.%6."/>
      <w:lvlJc w:val="left"/>
      <w:pPr>
        <w:tabs>
          <w:tab w:val="num" w:pos="1021"/>
        </w:tabs>
        <w:ind w:left="0" w:firstLine="0"/>
      </w:pPr>
      <w:rPr>
        <w:rFonts w:ascii="Calibri" w:hAnsi="Calibri" w:hint="default"/>
        <w:sz w:val="24"/>
      </w:rPr>
    </w:lvl>
    <w:lvl w:ilvl="6">
      <w:start w:val="1"/>
      <w:numFmt w:val="decimal"/>
      <w:lvlText w:val="%1.%2.%3.%4.%5.%6.%7."/>
      <w:lvlJc w:val="left"/>
      <w:pPr>
        <w:tabs>
          <w:tab w:val="num" w:pos="1134"/>
        </w:tabs>
        <w:ind w:left="0" w:firstLine="0"/>
      </w:pPr>
      <w:rPr>
        <w:rFonts w:ascii="Calibri" w:hAnsi="Calibri" w:hint="default"/>
        <w:sz w:val="24"/>
      </w:rPr>
    </w:lvl>
    <w:lvl w:ilvl="7">
      <w:start w:val="1"/>
      <w:numFmt w:val="decimal"/>
      <w:lvlText w:val="%1.%2.%3.%4.%5.%6.%7.%8."/>
      <w:lvlJc w:val="left"/>
      <w:pPr>
        <w:tabs>
          <w:tab w:val="num" w:pos="1134"/>
        </w:tabs>
        <w:ind w:left="0" w:firstLine="0"/>
      </w:pPr>
      <w:rPr>
        <w:rFonts w:ascii="Calibri" w:hAnsi="Calibri" w:hint="default"/>
        <w:sz w:val="24"/>
      </w:rPr>
    </w:lvl>
    <w:lvl w:ilvl="8">
      <w:start w:val="1"/>
      <w:numFmt w:val="decimal"/>
      <w:lvlText w:val="%1.%2.%3.%4.%5.%6.%7.%8.%9."/>
      <w:lvlJc w:val="left"/>
      <w:pPr>
        <w:tabs>
          <w:tab w:val="num" w:pos="1134"/>
        </w:tabs>
        <w:ind w:left="0" w:firstLine="0"/>
      </w:pPr>
      <w:rPr>
        <w:rFonts w:ascii="Calibri" w:hAnsi="Calibri" w:hint="default"/>
        <w:sz w:val="24"/>
      </w:rPr>
    </w:lvl>
  </w:abstractNum>
  <w:abstractNum w:abstractNumId="4" w15:restartNumberingAfterBreak="0">
    <w:nsid w:val="2A5F2A2F"/>
    <w:multiLevelType w:val="multilevel"/>
    <w:tmpl w:val="FA705192"/>
    <w:lvl w:ilvl="0">
      <w:start w:val="1"/>
      <w:numFmt w:val="bullet"/>
      <w:lvlText w:val=""/>
      <w:lvlJc w:val="left"/>
      <w:pPr>
        <w:ind w:left="514" w:hanging="360"/>
      </w:pPr>
      <w:rPr>
        <w:rFonts w:ascii="Symbol" w:hAnsi="Symbol" w:hint="default"/>
        <w:b/>
      </w:rPr>
    </w:lvl>
    <w:lvl w:ilvl="1">
      <w:start w:val="1"/>
      <w:numFmt w:val="decimal"/>
      <w:lvlText w:val="%1.%2"/>
      <w:lvlJc w:val="left"/>
      <w:pPr>
        <w:ind w:left="514" w:hanging="360"/>
      </w:pPr>
      <w:rPr>
        <w:rFonts w:hint="default"/>
        <w:b/>
      </w:rPr>
    </w:lvl>
    <w:lvl w:ilvl="2">
      <w:start w:val="1"/>
      <w:numFmt w:val="bullet"/>
      <w:lvlText w:val=""/>
      <w:lvlJc w:val="left"/>
      <w:pPr>
        <w:ind w:left="874" w:hanging="720"/>
      </w:pPr>
      <w:rPr>
        <w:rFonts w:ascii="Symbol" w:hAnsi="Symbol" w:hint="default"/>
        <w:b w:val="0"/>
      </w:rPr>
    </w:lvl>
    <w:lvl w:ilvl="3">
      <w:start w:val="1"/>
      <w:numFmt w:val="decimal"/>
      <w:lvlText w:val="%1.%2.%3.%4"/>
      <w:lvlJc w:val="left"/>
      <w:pPr>
        <w:ind w:left="874" w:hanging="720"/>
      </w:pPr>
      <w:rPr>
        <w:rFonts w:hint="default"/>
        <w:b/>
      </w:rPr>
    </w:lvl>
    <w:lvl w:ilvl="4">
      <w:start w:val="1"/>
      <w:numFmt w:val="decimal"/>
      <w:lvlText w:val="%1.%2.%3.%4.%5"/>
      <w:lvlJc w:val="left"/>
      <w:pPr>
        <w:ind w:left="1234" w:hanging="1080"/>
      </w:pPr>
      <w:rPr>
        <w:rFonts w:hint="default"/>
        <w:b/>
      </w:rPr>
    </w:lvl>
    <w:lvl w:ilvl="5">
      <w:start w:val="1"/>
      <w:numFmt w:val="decimal"/>
      <w:lvlText w:val="%1.%2.%3.%4.%5.%6"/>
      <w:lvlJc w:val="left"/>
      <w:pPr>
        <w:ind w:left="1234" w:hanging="1080"/>
      </w:pPr>
      <w:rPr>
        <w:rFonts w:hint="default"/>
        <w:b/>
      </w:rPr>
    </w:lvl>
    <w:lvl w:ilvl="6">
      <w:start w:val="1"/>
      <w:numFmt w:val="decimal"/>
      <w:lvlText w:val="%1.%2.%3.%4.%5.%6.%7"/>
      <w:lvlJc w:val="left"/>
      <w:pPr>
        <w:ind w:left="1594" w:hanging="1440"/>
      </w:pPr>
      <w:rPr>
        <w:rFonts w:hint="default"/>
        <w:b/>
      </w:rPr>
    </w:lvl>
    <w:lvl w:ilvl="7">
      <w:start w:val="1"/>
      <w:numFmt w:val="decimal"/>
      <w:lvlText w:val="%1.%2.%3.%4.%5.%6.%7.%8"/>
      <w:lvlJc w:val="left"/>
      <w:pPr>
        <w:ind w:left="1594" w:hanging="1440"/>
      </w:pPr>
      <w:rPr>
        <w:rFonts w:hint="default"/>
        <w:b/>
      </w:rPr>
    </w:lvl>
    <w:lvl w:ilvl="8">
      <w:start w:val="1"/>
      <w:numFmt w:val="decimal"/>
      <w:lvlText w:val="%1.%2.%3.%4.%5.%6.%7.%8.%9"/>
      <w:lvlJc w:val="left"/>
      <w:pPr>
        <w:ind w:left="1594" w:hanging="1440"/>
      </w:pPr>
      <w:rPr>
        <w:rFonts w:hint="default"/>
        <w:b/>
      </w:rPr>
    </w:lvl>
  </w:abstractNum>
  <w:abstractNum w:abstractNumId="5" w15:restartNumberingAfterBreak="0">
    <w:nsid w:val="2E437CCD"/>
    <w:multiLevelType w:val="hybridMultilevel"/>
    <w:tmpl w:val="3312CAEA"/>
    <w:lvl w:ilvl="0" w:tplc="04DE2C70">
      <w:start w:val="1"/>
      <w:numFmt w:val="bullet"/>
      <w:lvlText w:val=""/>
      <w:lvlJc w:val="left"/>
      <w:pPr>
        <w:ind w:left="720" w:hanging="360"/>
      </w:pPr>
      <w:rPr>
        <w:rFonts w:ascii="Symbol" w:hAnsi="Symbol" w:hint="default"/>
      </w:rPr>
    </w:lvl>
    <w:lvl w:ilvl="1" w:tplc="4E6606DE" w:tentative="1">
      <w:start w:val="1"/>
      <w:numFmt w:val="bullet"/>
      <w:lvlText w:val="o"/>
      <w:lvlJc w:val="left"/>
      <w:pPr>
        <w:ind w:left="1440" w:hanging="360"/>
      </w:pPr>
      <w:rPr>
        <w:rFonts w:ascii="Courier New" w:hAnsi="Courier New" w:cs="Courier New" w:hint="default"/>
      </w:rPr>
    </w:lvl>
    <w:lvl w:ilvl="2" w:tplc="CDC45CB4" w:tentative="1">
      <w:start w:val="1"/>
      <w:numFmt w:val="bullet"/>
      <w:lvlText w:val=""/>
      <w:lvlJc w:val="left"/>
      <w:pPr>
        <w:ind w:left="2160" w:hanging="360"/>
      </w:pPr>
      <w:rPr>
        <w:rFonts w:ascii="Wingdings" w:hAnsi="Wingdings" w:hint="default"/>
      </w:rPr>
    </w:lvl>
    <w:lvl w:ilvl="3" w:tplc="BEA8B2AE" w:tentative="1">
      <w:start w:val="1"/>
      <w:numFmt w:val="bullet"/>
      <w:lvlText w:val=""/>
      <w:lvlJc w:val="left"/>
      <w:pPr>
        <w:ind w:left="2880" w:hanging="360"/>
      </w:pPr>
      <w:rPr>
        <w:rFonts w:ascii="Symbol" w:hAnsi="Symbol" w:hint="default"/>
      </w:rPr>
    </w:lvl>
    <w:lvl w:ilvl="4" w:tplc="5D0E6228" w:tentative="1">
      <w:start w:val="1"/>
      <w:numFmt w:val="bullet"/>
      <w:lvlText w:val="o"/>
      <w:lvlJc w:val="left"/>
      <w:pPr>
        <w:ind w:left="3600" w:hanging="360"/>
      </w:pPr>
      <w:rPr>
        <w:rFonts w:ascii="Courier New" w:hAnsi="Courier New" w:cs="Courier New" w:hint="default"/>
      </w:rPr>
    </w:lvl>
    <w:lvl w:ilvl="5" w:tplc="F33E1960" w:tentative="1">
      <w:start w:val="1"/>
      <w:numFmt w:val="bullet"/>
      <w:lvlText w:val=""/>
      <w:lvlJc w:val="left"/>
      <w:pPr>
        <w:ind w:left="4320" w:hanging="360"/>
      </w:pPr>
      <w:rPr>
        <w:rFonts w:ascii="Wingdings" w:hAnsi="Wingdings" w:hint="default"/>
      </w:rPr>
    </w:lvl>
    <w:lvl w:ilvl="6" w:tplc="CB7E1AB4" w:tentative="1">
      <w:start w:val="1"/>
      <w:numFmt w:val="bullet"/>
      <w:lvlText w:val=""/>
      <w:lvlJc w:val="left"/>
      <w:pPr>
        <w:ind w:left="5040" w:hanging="360"/>
      </w:pPr>
      <w:rPr>
        <w:rFonts w:ascii="Symbol" w:hAnsi="Symbol" w:hint="default"/>
      </w:rPr>
    </w:lvl>
    <w:lvl w:ilvl="7" w:tplc="C9E4D80E" w:tentative="1">
      <w:start w:val="1"/>
      <w:numFmt w:val="bullet"/>
      <w:lvlText w:val="o"/>
      <w:lvlJc w:val="left"/>
      <w:pPr>
        <w:ind w:left="5760" w:hanging="360"/>
      </w:pPr>
      <w:rPr>
        <w:rFonts w:ascii="Courier New" w:hAnsi="Courier New" w:cs="Courier New" w:hint="default"/>
      </w:rPr>
    </w:lvl>
    <w:lvl w:ilvl="8" w:tplc="0E0E7C82" w:tentative="1">
      <w:start w:val="1"/>
      <w:numFmt w:val="bullet"/>
      <w:lvlText w:val=""/>
      <w:lvlJc w:val="left"/>
      <w:pPr>
        <w:ind w:left="6480" w:hanging="360"/>
      </w:pPr>
      <w:rPr>
        <w:rFonts w:ascii="Wingdings" w:hAnsi="Wingdings" w:hint="default"/>
      </w:rPr>
    </w:lvl>
  </w:abstractNum>
  <w:abstractNum w:abstractNumId="6" w15:restartNumberingAfterBreak="0">
    <w:nsid w:val="45520F86"/>
    <w:multiLevelType w:val="hybridMultilevel"/>
    <w:tmpl w:val="6234EACA"/>
    <w:lvl w:ilvl="0" w:tplc="EA4CE66A">
      <w:start w:val="1"/>
      <w:numFmt w:val="bullet"/>
      <w:lvlText w:val=""/>
      <w:lvlJc w:val="left"/>
      <w:pPr>
        <w:ind w:left="927" w:hanging="360"/>
      </w:pPr>
      <w:rPr>
        <w:rFonts w:ascii="Symbol" w:hAnsi="Symbol" w:hint="default"/>
        <w:color w:val="auto"/>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4F8F6C0E"/>
    <w:multiLevelType w:val="hybridMultilevel"/>
    <w:tmpl w:val="520AB80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62440D0C"/>
    <w:multiLevelType w:val="multilevel"/>
    <w:tmpl w:val="809C42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2786B96"/>
    <w:multiLevelType w:val="hybridMultilevel"/>
    <w:tmpl w:val="10529CBA"/>
    <w:lvl w:ilvl="0" w:tplc="035C4442">
      <w:start w:val="1"/>
      <w:numFmt w:val="decimal"/>
      <w:lvlText w:val="3.%1"/>
      <w:lvlJc w:val="center"/>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48D153C"/>
    <w:multiLevelType w:val="hybridMultilevel"/>
    <w:tmpl w:val="9668B648"/>
    <w:lvl w:ilvl="0" w:tplc="E716B3D8">
      <w:start w:val="1"/>
      <w:numFmt w:val="bullet"/>
      <w:lvlText w:val=""/>
      <w:lvlJc w:val="left"/>
      <w:pPr>
        <w:ind w:left="1077" w:hanging="964"/>
      </w:pPr>
      <w:rPr>
        <w:rFonts w:ascii="Symbol" w:hAnsi="Symbol"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11" w15:restartNumberingAfterBreak="0">
    <w:nsid w:val="7C767B96"/>
    <w:multiLevelType w:val="hybridMultilevel"/>
    <w:tmpl w:val="058C482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3"/>
  </w:num>
  <w:num w:numId="2">
    <w:abstractNumId w:val="5"/>
  </w:num>
  <w:num w:numId="3">
    <w:abstractNumId w:val="6"/>
  </w:num>
  <w:num w:numId="4">
    <w:abstractNumId w:val="11"/>
  </w:num>
  <w:num w:numId="5">
    <w:abstractNumId w:val="7"/>
  </w:num>
  <w:num w:numId="6">
    <w:abstractNumId w:val="2"/>
  </w:num>
  <w:num w:numId="7">
    <w:abstractNumId w:val="0"/>
  </w:num>
  <w:num w:numId="8">
    <w:abstractNumId w:val="1"/>
  </w:num>
  <w:num w:numId="9">
    <w:abstractNumId w:val="10"/>
  </w:num>
  <w:num w:numId="10">
    <w:abstractNumId w:val="9"/>
  </w:num>
  <w:num w:numId="11">
    <w:abstractNumId w:val="4"/>
  </w:num>
  <w:num w:numId="12">
    <w:abstractNumId w:val="8"/>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184"/>
    <w:rsid w:val="000038E9"/>
    <w:rsid w:val="00006568"/>
    <w:rsid w:val="00010E41"/>
    <w:rsid w:val="00012100"/>
    <w:rsid w:val="000133E7"/>
    <w:rsid w:val="000155D6"/>
    <w:rsid w:val="00022F13"/>
    <w:rsid w:val="00030C7C"/>
    <w:rsid w:val="00030E89"/>
    <w:rsid w:val="00030F62"/>
    <w:rsid w:val="00037F06"/>
    <w:rsid w:val="00040B96"/>
    <w:rsid w:val="00044BAF"/>
    <w:rsid w:val="000450DB"/>
    <w:rsid w:val="000462F4"/>
    <w:rsid w:val="000521A0"/>
    <w:rsid w:val="000604A7"/>
    <w:rsid w:val="000640DE"/>
    <w:rsid w:val="00067964"/>
    <w:rsid w:val="0007266F"/>
    <w:rsid w:val="00083026"/>
    <w:rsid w:val="00083B02"/>
    <w:rsid w:val="000920D9"/>
    <w:rsid w:val="000936A2"/>
    <w:rsid w:val="00095B46"/>
    <w:rsid w:val="00096007"/>
    <w:rsid w:val="00096249"/>
    <w:rsid w:val="000A0F6A"/>
    <w:rsid w:val="000A1894"/>
    <w:rsid w:val="000A2A98"/>
    <w:rsid w:val="000A73F4"/>
    <w:rsid w:val="000B0D6F"/>
    <w:rsid w:val="000B1838"/>
    <w:rsid w:val="000B1CF8"/>
    <w:rsid w:val="000B3710"/>
    <w:rsid w:val="000B45D1"/>
    <w:rsid w:val="000B598A"/>
    <w:rsid w:val="000B6283"/>
    <w:rsid w:val="000B662E"/>
    <w:rsid w:val="000B6B09"/>
    <w:rsid w:val="000B7002"/>
    <w:rsid w:val="000C3D71"/>
    <w:rsid w:val="000D13F1"/>
    <w:rsid w:val="000E1CFC"/>
    <w:rsid w:val="000E57D1"/>
    <w:rsid w:val="000F0743"/>
    <w:rsid w:val="000F48EF"/>
    <w:rsid w:val="000F5A48"/>
    <w:rsid w:val="000F7692"/>
    <w:rsid w:val="001003DB"/>
    <w:rsid w:val="00106CC9"/>
    <w:rsid w:val="00111E42"/>
    <w:rsid w:val="00112457"/>
    <w:rsid w:val="00115CFB"/>
    <w:rsid w:val="00120717"/>
    <w:rsid w:val="0012202B"/>
    <w:rsid w:val="001249E7"/>
    <w:rsid w:val="00127FC7"/>
    <w:rsid w:val="001309CB"/>
    <w:rsid w:val="001322D3"/>
    <w:rsid w:val="00133007"/>
    <w:rsid w:val="0013332A"/>
    <w:rsid w:val="0013554B"/>
    <w:rsid w:val="0014079F"/>
    <w:rsid w:val="001419DD"/>
    <w:rsid w:val="0014228D"/>
    <w:rsid w:val="00142F13"/>
    <w:rsid w:val="0014383F"/>
    <w:rsid w:val="00145477"/>
    <w:rsid w:val="00150B7E"/>
    <w:rsid w:val="00151177"/>
    <w:rsid w:val="001612F1"/>
    <w:rsid w:val="0016280B"/>
    <w:rsid w:val="0017016C"/>
    <w:rsid w:val="0017074B"/>
    <w:rsid w:val="00171E58"/>
    <w:rsid w:val="00173237"/>
    <w:rsid w:val="00177D35"/>
    <w:rsid w:val="00182FCD"/>
    <w:rsid w:val="00184F7D"/>
    <w:rsid w:val="001863A1"/>
    <w:rsid w:val="00187317"/>
    <w:rsid w:val="0019160C"/>
    <w:rsid w:val="0019625B"/>
    <w:rsid w:val="00196730"/>
    <w:rsid w:val="00197EE7"/>
    <w:rsid w:val="001A26DB"/>
    <w:rsid w:val="001A444D"/>
    <w:rsid w:val="001A53DE"/>
    <w:rsid w:val="001B0F68"/>
    <w:rsid w:val="001B5772"/>
    <w:rsid w:val="001C26AA"/>
    <w:rsid w:val="001C2B72"/>
    <w:rsid w:val="001C3E12"/>
    <w:rsid w:val="001C63C2"/>
    <w:rsid w:val="001C6FB5"/>
    <w:rsid w:val="001D57BB"/>
    <w:rsid w:val="001D5C0A"/>
    <w:rsid w:val="001D5DA6"/>
    <w:rsid w:val="001F211B"/>
    <w:rsid w:val="001F5A8F"/>
    <w:rsid w:val="00200D43"/>
    <w:rsid w:val="00201532"/>
    <w:rsid w:val="00201618"/>
    <w:rsid w:val="0020246D"/>
    <w:rsid w:val="0021096E"/>
    <w:rsid w:val="002241C7"/>
    <w:rsid w:val="00225AAA"/>
    <w:rsid w:val="002308E9"/>
    <w:rsid w:val="00230976"/>
    <w:rsid w:val="00230D03"/>
    <w:rsid w:val="0023187B"/>
    <w:rsid w:val="00240CAD"/>
    <w:rsid w:val="002424BD"/>
    <w:rsid w:val="00244875"/>
    <w:rsid w:val="00244F4E"/>
    <w:rsid w:val="0024615C"/>
    <w:rsid w:val="00255F47"/>
    <w:rsid w:val="00260185"/>
    <w:rsid w:val="00263639"/>
    <w:rsid w:val="00264D61"/>
    <w:rsid w:val="00265A55"/>
    <w:rsid w:val="00274CA0"/>
    <w:rsid w:val="002752F0"/>
    <w:rsid w:val="0027606D"/>
    <w:rsid w:val="002809A5"/>
    <w:rsid w:val="00280CDD"/>
    <w:rsid w:val="00280E59"/>
    <w:rsid w:val="00282102"/>
    <w:rsid w:val="002821CA"/>
    <w:rsid w:val="00284D46"/>
    <w:rsid w:val="00286E89"/>
    <w:rsid w:val="00290703"/>
    <w:rsid w:val="002A07CC"/>
    <w:rsid w:val="002A71CD"/>
    <w:rsid w:val="002A7505"/>
    <w:rsid w:val="002A78F5"/>
    <w:rsid w:val="002B0A9E"/>
    <w:rsid w:val="002B0AA1"/>
    <w:rsid w:val="002B2159"/>
    <w:rsid w:val="002B2B9E"/>
    <w:rsid w:val="002B6514"/>
    <w:rsid w:val="002B6F2B"/>
    <w:rsid w:val="002C12D3"/>
    <w:rsid w:val="002C33DF"/>
    <w:rsid w:val="002C7E82"/>
    <w:rsid w:val="002D1068"/>
    <w:rsid w:val="002D2BA0"/>
    <w:rsid w:val="002E12BC"/>
    <w:rsid w:val="002E504F"/>
    <w:rsid w:val="002E57B2"/>
    <w:rsid w:val="002E5F79"/>
    <w:rsid w:val="00300C78"/>
    <w:rsid w:val="00302E47"/>
    <w:rsid w:val="00303806"/>
    <w:rsid w:val="00306AB2"/>
    <w:rsid w:val="00307768"/>
    <w:rsid w:val="0031040E"/>
    <w:rsid w:val="00311CFF"/>
    <w:rsid w:val="003139CA"/>
    <w:rsid w:val="0031508B"/>
    <w:rsid w:val="00317A9B"/>
    <w:rsid w:val="00320C82"/>
    <w:rsid w:val="00320DB4"/>
    <w:rsid w:val="00322DA6"/>
    <w:rsid w:val="00327815"/>
    <w:rsid w:val="003321D4"/>
    <w:rsid w:val="00332416"/>
    <w:rsid w:val="00333E66"/>
    <w:rsid w:val="003351BF"/>
    <w:rsid w:val="00335D61"/>
    <w:rsid w:val="003370BC"/>
    <w:rsid w:val="0033731E"/>
    <w:rsid w:val="0033732E"/>
    <w:rsid w:val="003379EE"/>
    <w:rsid w:val="00341EF9"/>
    <w:rsid w:val="003479E1"/>
    <w:rsid w:val="00350FC6"/>
    <w:rsid w:val="00354235"/>
    <w:rsid w:val="00355160"/>
    <w:rsid w:val="00355B36"/>
    <w:rsid w:val="00355F80"/>
    <w:rsid w:val="003574DF"/>
    <w:rsid w:val="00357AA0"/>
    <w:rsid w:val="003616CA"/>
    <w:rsid w:val="00371EE0"/>
    <w:rsid w:val="00372AAC"/>
    <w:rsid w:val="003746B8"/>
    <w:rsid w:val="0037596C"/>
    <w:rsid w:val="0037653F"/>
    <w:rsid w:val="00376935"/>
    <w:rsid w:val="003807A0"/>
    <w:rsid w:val="003811CB"/>
    <w:rsid w:val="00382B9E"/>
    <w:rsid w:val="00383624"/>
    <w:rsid w:val="00384121"/>
    <w:rsid w:val="00384252"/>
    <w:rsid w:val="00390082"/>
    <w:rsid w:val="00391A28"/>
    <w:rsid w:val="00391A36"/>
    <w:rsid w:val="00392016"/>
    <w:rsid w:val="00393005"/>
    <w:rsid w:val="003979F4"/>
    <w:rsid w:val="003A1C5F"/>
    <w:rsid w:val="003A5CB6"/>
    <w:rsid w:val="003A63EF"/>
    <w:rsid w:val="003A6D3A"/>
    <w:rsid w:val="003B1A56"/>
    <w:rsid w:val="003B1B9C"/>
    <w:rsid w:val="003B3854"/>
    <w:rsid w:val="003B43D3"/>
    <w:rsid w:val="003B5242"/>
    <w:rsid w:val="003C3781"/>
    <w:rsid w:val="003C3D09"/>
    <w:rsid w:val="003C3EDB"/>
    <w:rsid w:val="003C67BA"/>
    <w:rsid w:val="003D1D72"/>
    <w:rsid w:val="003D3979"/>
    <w:rsid w:val="003D5D5B"/>
    <w:rsid w:val="003D60E3"/>
    <w:rsid w:val="003E24FC"/>
    <w:rsid w:val="003E2E6B"/>
    <w:rsid w:val="003E3282"/>
    <w:rsid w:val="003E54F5"/>
    <w:rsid w:val="003E7FBB"/>
    <w:rsid w:val="003F003A"/>
    <w:rsid w:val="003F163C"/>
    <w:rsid w:val="003F6CCC"/>
    <w:rsid w:val="00400D97"/>
    <w:rsid w:val="004055B3"/>
    <w:rsid w:val="004056E8"/>
    <w:rsid w:val="004107C7"/>
    <w:rsid w:val="00412DE6"/>
    <w:rsid w:val="0041340E"/>
    <w:rsid w:val="00413F9C"/>
    <w:rsid w:val="00414085"/>
    <w:rsid w:val="00414AA8"/>
    <w:rsid w:val="00415D34"/>
    <w:rsid w:val="00421691"/>
    <w:rsid w:val="00432A64"/>
    <w:rsid w:val="00436C52"/>
    <w:rsid w:val="00452D86"/>
    <w:rsid w:val="00455327"/>
    <w:rsid w:val="004574E3"/>
    <w:rsid w:val="004628E0"/>
    <w:rsid w:val="00467548"/>
    <w:rsid w:val="00475855"/>
    <w:rsid w:val="00475A5D"/>
    <w:rsid w:val="00480381"/>
    <w:rsid w:val="00481F73"/>
    <w:rsid w:val="00484145"/>
    <w:rsid w:val="0048650A"/>
    <w:rsid w:val="00487266"/>
    <w:rsid w:val="00487E89"/>
    <w:rsid w:val="00490AED"/>
    <w:rsid w:val="0049293F"/>
    <w:rsid w:val="00493090"/>
    <w:rsid w:val="004A16B0"/>
    <w:rsid w:val="004A47A7"/>
    <w:rsid w:val="004A5CB2"/>
    <w:rsid w:val="004B1245"/>
    <w:rsid w:val="004B1457"/>
    <w:rsid w:val="004B40EE"/>
    <w:rsid w:val="004B5C7F"/>
    <w:rsid w:val="004B72A1"/>
    <w:rsid w:val="004B7726"/>
    <w:rsid w:val="004C0F7C"/>
    <w:rsid w:val="004C10DD"/>
    <w:rsid w:val="004C1504"/>
    <w:rsid w:val="004C15D9"/>
    <w:rsid w:val="004C7E3D"/>
    <w:rsid w:val="004D142A"/>
    <w:rsid w:val="004D6FFF"/>
    <w:rsid w:val="004E59BF"/>
    <w:rsid w:val="004E74D9"/>
    <w:rsid w:val="004F2DD6"/>
    <w:rsid w:val="004F57A9"/>
    <w:rsid w:val="005024FD"/>
    <w:rsid w:val="00502C63"/>
    <w:rsid w:val="0050377A"/>
    <w:rsid w:val="005142CB"/>
    <w:rsid w:val="0052159A"/>
    <w:rsid w:val="0052204B"/>
    <w:rsid w:val="00525F8F"/>
    <w:rsid w:val="005273B5"/>
    <w:rsid w:val="005353E9"/>
    <w:rsid w:val="00541086"/>
    <w:rsid w:val="00541D41"/>
    <w:rsid w:val="005422AF"/>
    <w:rsid w:val="0054280B"/>
    <w:rsid w:val="005443AA"/>
    <w:rsid w:val="0054565F"/>
    <w:rsid w:val="00546E9C"/>
    <w:rsid w:val="00551708"/>
    <w:rsid w:val="005535D2"/>
    <w:rsid w:val="00554998"/>
    <w:rsid w:val="00560C1E"/>
    <w:rsid w:val="00561967"/>
    <w:rsid w:val="00562027"/>
    <w:rsid w:val="00564BAF"/>
    <w:rsid w:val="00565510"/>
    <w:rsid w:val="00566233"/>
    <w:rsid w:val="00572260"/>
    <w:rsid w:val="00572F7C"/>
    <w:rsid w:val="005771B7"/>
    <w:rsid w:val="00585721"/>
    <w:rsid w:val="00585AB9"/>
    <w:rsid w:val="00586ABA"/>
    <w:rsid w:val="0059445F"/>
    <w:rsid w:val="005A06CE"/>
    <w:rsid w:val="005A16A8"/>
    <w:rsid w:val="005A402E"/>
    <w:rsid w:val="005A5E09"/>
    <w:rsid w:val="005B0108"/>
    <w:rsid w:val="005B2005"/>
    <w:rsid w:val="005B461B"/>
    <w:rsid w:val="005B6089"/>
    <w:rsid w:val="005B6DC2"/>
    <w:rsid w:val="005C3BA8"/>
    <w:rsid w:val="005D32AE"/>
    <w:rsid w:val="005D7429"/>
    <w:rsid w:val="005E0E90"/>
    <w:rsid w:val="005E2897"/>
    <w:rsid w:val="005E3793"/>
    <w:rsid w:val="005E602E"/>
    <w:rsid w:val="005E6295"/>
    <w:rsid w:val="005F1A11"/>
    <w:rsid w:val="005F4841"/>
    <w:rsid w:val="005F7559"/>
    <w:rsid w:val="00602DC1"/>
    <w:rsid w:val="00603EB6"/>
    <w:rsid w:val="00604C04"/>
    <w:rsid w:val="006060A8"/>
    <w:rsid w:val="00615A0C"/>
    <w:rsid w:val="00617A69"/>
    <w:rsid w:val="00620313"/>
    <w:rsid w:val="00623096"/>
    <w:rsid w:val="00625FD1"/>
    <w:rsid w:val="006304BC"/>
    <w:rsid w:val="00630E9E"/>
    <w:rsid w:val="0063110E"/>
    <w:rsid w:val="00633030"/>
    <w:rsid w:val="00641AB5"/>
    <w:rsid w:val="0064418F"/>
    <w:rsid w:val="00645F52"/>
    <w:rsid w:val="00653070"/>
    <w:rsid w:val="00655FD7"/>
    <w:rsid w:val="006605BC"/>
    <w:rsid w:val="00660670"/>
    <w:rsid w:val="006663FA"/>
    <w:rsid w:val="006670FE"/>
    <w:rsid w:val="00672B02"/>
    <w:rsid w:val="00672D90"/>
    <w:rsid w:val="006745EE"/>
    <w:rsid w:val="00674CD0"/>
    <w:rsid w:val="006767AB"/>
    <w:rsid w:val="00681723"/>
    <w:rsid w:val="0068206E"/>
    <w:rsid w:val="00686CB2"/>
    <w:rsid w:val="006956C3"/>
    <w:rsid w:val="0069607D"/>
    <w:rsid w:val="006B0748"/>
    <w:rsid w:val="006C38FC"/>
    <w:rsid w:val="006C3C8C"/>
    <w:rsid w:val="006C5D49"/>
    <w:rsid w:val="006C6B56"/>
    <w:rsid w:val="006C7FAB"/>
    <w:rsid w:val="006D4680"/>
    <w:rsid w:val="006D5803"/>
    <w:rsid w:val="006E209F"/>
    <w:rsid w:val="006E29F6"/>
    <w:rsid w:val="006E3164"/>
    <w:rsid w:val="006E3681"/>
    <w:rsid w:val="006F238B"/>
    <w:rsid w:val="006F2D90"/>
    <w:rsid w:val="006F2DDF"/>
    <w:rsid w:val="006F30A0"/>
    <w:rsid w:val="006F3411"/>
    <w:rsid w:val="006F3CE9"/>
    <w:rsid w:val="006F49FF"/>
    <w:rsid w:val="007008B9"/>
    <w:rsid w:val="00705EEE"/>
    <w:rsid w:val="00707345"/>
    <w:rsid w:val="007073D4"/>
    <w:rsid w:val="00707F45"/>
    <w:rsid w:val="00711F99"/>
    <w:rsid w:val="00712FEA"/>
    <w:rsid w:val="007142EF"/>
    <w:rsid w:val="00715B5D"/>
    <w:rsid w:val="00717777"/>
    <w:rsid w:val="007214A9"/>
    <w:rsid w:val="0072348F"/>
    <w:rsid w:val="0072555F"/>
    <w:rsid w:val="00726AEF"/>
    <w:rsid w:val="00730286"/>
    <w:rsid w:val="007315A3"/>
    <w:rsid w:val="00734688"/>
    <w:rsid w:val="00746862"/>
    <w:rsid w:val="00751793"/>
    <w:rsid w:val="007541A3"/>
    <w:rsid w:val="00754533"/>
    <w:rsid w:val="00760AE8"/>
    <w:rsid w:val="007640A1"/>
    <w:rsid w:val="007734DB"/>
    <w:rsid w:val="00774167"/>
    <w:rsid w:val="00776CA6"/>
    <w:rsid w:val="00783269"/>
    <w:rsid w:val="007832EB"/>
    <w:rsid w:val="007910E8"/>
    <w:rsid w:val="007965DF"/>
    <w:rsid w:val="00797E00"/>
    <w:rsid w:val="007A05E2"/>
    <w:rsid w:val="007A486C"/>
    <w:rsid w:val="007A4C00"/>
    <w:rsid w:val="007A4C8F"/>
    <w:rsid w:val="007B4760"/>
    <w:rsid w:val="007B5C90"/>
    <w:rsid w:val="007B5E07"/>
    <w:rsid w:val="007C0E89"/>
    <w:rsid w:val="007D436F"/>
    <w:rsid w:val="007D47BB"/>
    <w:rsid w:val="007E0395"/>
    <w:rsid w:val="007E18EF"/>
    <w:rsid w:val="007E1A04"/>
    <w:rsid w:val="007E1C38"/>
    <w:rsid w:val="007E3DF1"/>
    <w:rsid w:val="007E5DE0"/>
    <w:rsid w:val="007F0C18"/>
    <w:rsid w:val="007F370D"/>
    <w:rsid w:val="007F7661"/>
    <w:rsid w:val="007F79BC"/>
    <w:rsid w:val="00801DD1"/>
    <w:rsid w:val="00803A69"/>
    <w:rsid w:val="00806888"/>
    <w:rsid w:val="00806A14"/>
    <w:rsid w:val="00806D35"/>
    <w:rsid w:val="008073CC"/>
    <w:rsid w:val="00807430"/>
    <w:rsid w:val="008108D0"/>
    <w:rsid w:val="0081585D"/>
    <w:rsid w:val="00825A32"/>
    <w:rsid w:val="00827961"/>
    <w:rsid w:val="0083282B"/>
    <w:rsid w:val="008347EB"/>
    <w:rsid w:val="00837E32"/>
    <w:rsid w:val="008404DB"/>
    <w:rsid w:val="00842F24"/>
    <w:rsid w:val="00847AD8"/>
    <w:rsid w:val="008522E8"/>
    <w:rsid w:val="00860DBD"/>
    <w:rsid w:val="00862171"/>
    <w:rsid w:val="00865669"/>
    <w:rsid w:val="00865981"/>
    <w:rsid w:val="008700B7"/>
    <w:rsid w:val="00871984"/>
    <w:rsid w:val="00875263"/>
    <w:rsid w:val="0087535C"/>
    <w:rsid w:val="00880EAC"/>
    <w:rsid w:val="00881906"/>
    <w:rsid w:val="008844D2"/>
    <w:rsid w:val="00892EC4"/>
    <w:rsid w:val="00894446"/>
    <w:rsid w:val="008976CB"/>
    <w:rsid w:val="008A0CE3"/>
    <w:rsid w:val="008A1BF6"/>
    <w:rsid w:val="008B0A49"/>
    <w:rsid w:val="008B1AC4"/>
    <w:rsid w:val="008B4169"/>
    <w:rsid w:val="008B4C5A"/>
    <w:rsid w:val="008B4EF5"/>
    <w:rsid w:val="008C08A8"/>
    <w:rsid w:val="008C4738"/>
    <w:rsid w:val="008C6184"/>
    <w:rsid w:val="008C74D3"/>
    <w:rsid w:val="008D28CE"/>
    <w:rsid w:val="008D3325"/>
    <w:rsid w:val="008D3D2D"/>
    <w:rsid w:val="008E2150"/>
    <w:rsid w:val="008E3FBD"/>
    <w:rsid w:val="008E4FC3"/>
    <w:rsid w:val="008E7AB2"/>
    <w:rsid w:val="00901215"/>
    <w:rsid w:val="00901704"/>
    <w:rsid w:val="009019AE"/>
    <w:rsid w:val="00905548"/>
    <w:rsid w:val="0090617A"/>
    <w:rsid w:val="00907C8C"/>
    <w:rsid w:val="0091245A"/>
    <w:rsid w:val="00912C0E"/>
    <w:rsid w:val="00913B7E"/>
    <w:rsid w:val="00924C65"/>
    <w:rsid w:val="00931203"/>
    <w:rsid w:val="00933547"/>
    <w:rsid w:val="00934E42"/>
    <w:rsid w:val="00935702"/>
    <w:rsid w:val="00936DE5"/>
    <w:rsid w:val="00937139"/>
    <w:rsid w:val="00943EC9"/>
    <w:rsid w:val="00946A9E"/>
    <w:rsid w:val="009506F7"/>
    <w:rsid w:val="00950B2D"/>
    <w:rsid w:val="00950E4C"/>
    <w:rsid w:val="00951623"/>
    <w:rsid w:val="00960402"/>
    <w:rsid w:val="00967E09"/>
    <w:rsid w:val="00970DDF"/>
    <w:rsid w:val="00972DA3"/>
    <w:rsid w:val="0097480C"/>
    <w:rsid w:val="00975153"/>
    <w:rsid w:val="00977271"/>
    <w:rsid w:val="00983962"/>
    <w:rsid w:val="00986D19"/>
    <w:rsid w:val="00992EB9"/>
    <w:rsid w:val="0099375A"/>
    <w:rsid w:val="009942C2"/>
    <w:rsid w:val="00995B89"/>
    <w:rsid w:val="009961CC"/>
    <w:rsid w:val="009A57B5"/>
    <w:rsid w:val="009A79D8"/>
    <w:rsid w:val="009A7DB6"/>
    <w:rsid w:val="009B05E8"/>
    <w:rsid w:val="009B295A"/>
    <w:rsid w:val="009B6631"/>
    <w:rsid w:val="009C0486"/>
    <w:rsid w:val="009C0EEC"/>
    <w:rsid w:val="009C13C6"/>
    <w:rsid w:val="009C309B"/>
    <w:rsid w:val="009C480D"/>
    <w:rsid w:val="009C66A0"/>
    <w:rsid w:val="009D6216"/>
    <w:rsid w:val="009D632B"/>
    <w:rsid w:val="009D6423"/>
    <w:rsid w:val="009E3ACD"/>
    <w:rsid w:val="009E3E20"/>
    <w:rsid w:val="009F036B"/>
    <w:rsid w:val="009F240E"/>
    <w:rsid w:val="009F25EC"/>
    <w:rsid w:val="009F5E6D"/>
    <w:rsid w:val="00A00AAF"/>
    <w:rsid w:val="00A03749"/>
    <w:rsid w:val="00A06128"/>
    <w:rsid w:val="00A06F3E"/>
    <w:rsid w:val="00A0737E"/>
    <w:rsid w:val="00A152A8"/>
    <w:rsid w:val="00A15C94"/>
    <w:rsid w:val="00A203E2"/>
    <w:rsid w:val="00A21320"/>
    <w:rsid w:val="00A315D2"/>
    <w:rsid w:val="00A318FA"/>
    <w:rsid w:val="00A3577A"/>
    <w:rsid w:val="00A372C7"/>
    <w:rsid w:val="00A37ADB"/>
    <w:rsid w:val="00A37F64"/>
    <w:rsid w:val="00A42F10"/>
    <w:rsid w:val="00A600C9"/>
    <w:rsid w:val="00A61E2B"/>
    <w:rsid w:val="00A6387D"/>
    <w:rsid w:val="00A66752"/>
    <w:rsid w:val="00A756FC"/>
    <w:rsid w:val="00A7573C"/>
    <w:rsid w:val="00A82239"/>
    <w:rsid w:val="00A84062"/>
    <w:rsid w:val="00A85691"/>
    <w:rsid w:val="00A86A4D"/>
    <w:rsid w:val="00A878FA"/>
    <w:rsid w:val="00A93D85"/>
    <w:rsid w:val="00A94ED5"/>
    <w:rsid w:val="00A975C7"/>
    <w:rsid w:val="00A978F7"/>
    <w:rsid w:val="00AA006D"/>
    <w:rsid w:val="00AA0A2B"/>
    <w:rsid w:val="00AA162B"/>
    <w:rsid w:val="00AA23BF"/>
    <w:rsid w:val="00AA6C10"/>
    <w:rsid w:val="00AA7E1A"/>
    <w:rsid w:val="00AB0EEC"/>
    <w:rsid w:val="00AB1B54"/>
    <w:rsid w:val="00AB514D"/>
    <w:rsid w:val="00AC31C4"/>
    <w:rsid w:val="00AC6656"/>
    <w:rsid w:val="00AC6FA9"/>
    <w:rsid w:val="00AC7B32"/>
    <w:rsid w:val="00AD1C08"/>
    <w:rsid w:val="00AD47D2"/>
    <w:rsid w:val="00AD6E2F"/>
    <w:rsid w:val="00AD7CD0"/>
    <w:rsid w:val="00AE0899"/>
    <w:rsid w:val="00AE10D5"/>
    <w:rsid w:val="00AE4193"/>
    <w:rsid w:val="00AE4438"/>
    <w:rsid w:val="00AE717E"/>
    <w:rsid w:val="00AE786C"/>
    <w:rsid w:val="00AF0B2A"/>
    <w:rsid w:val="00AF2B78"/>
    <w:rsid w:val="00AF6819"/>
    <w:rsid w:val="00B02F2D"/>
    <w:rsid w:val="00B04E61"/>
    <w:rsid w:val="00B07DDD"/>
    <w:rsid w:val="00B07E1E"/>
    <w:rsid w:val="00B101F8"/>
    <w:rsid w:val="00B1789F"/>
    <w:rsid w:val="00B235AD"/>
    <w:rsid w:val="00B241B6"/>
    <w:rsid w:val="00B27AA4"/>
    <w:rsid w:val="00B30DF7"/>
    <w:rsid w:val="00B33582"/>
    <w:rsid w:val="00B35DDE"/>
    <w:rsid w:val="00B37E7F"/>
    <w:rsid w:val="00B45AF4"/>
    <w:rsid w:val="00B46891"/>
    <w:rsid w:val="00B47014"/>
    <w:rsid w:val="00B53C7E"/>
    <w:rsid w:val="00B56494"/>
    <w:rsid w:val="00B606DE"/>
    <w:rsid w:val="00B635D2"/>
    <w:rsid w:val="00B64C1E"/>
    <w:rsid w:val="00B72119"/>
    <w:rsid w:val="00B72A66"/>
    <w:rsid w:val="00B74469"/>
    <w:rsid w:val="00B8034C"/>
    <w:rsid w:val="00B8049E"/>
    <w:rsid w:val="00B8068A"/>
    <w:rsid w:val="00B872C9"/>
    <w:rsid w:val="00B87A60"/>
    <w:rsid w:val="00B924C2"/>
    <w:rsid w:val="00B9319A"/>
    <w:rsid w:val="00B9423B"/>
    <w:rsid w:val="00B94BF5"/>
    <w:rsid w:val="00BA42F6"/>
    <w:rsid w:val="00BA75CC"/>
    <w:rsid w:val="00BA7FD4"/>
    <w:rsid w:val="00BB009F"/>
    <w:rsid w:val="00BB238E"/>
    <w:rsid w:val="00BB4166"/>
    <w:rsid w:val="00BB43E0"/>
    <w:rsid w:val="00BC5652"/>
    <w:rsid w:val="00BC7C15"/>
    <w:rsid w:val="00BD0CDA"/>
    <w:rsid w:val="00BD10E0"/>
    <w:rsid w:val="00BD7C26"/>
    <w:rsid w:val="00BE0808"/>
    <w:rsid w:val="00BF009F"/>
    <w:rsid w:val="00BF260D"/>
    <w:rsid w:val="00BF58B3"/>
    <w:rsid w:val="00BF7685"/>
    <w:rsid w:val="00C01021"/>
    <w:rsid w:val="00C066BF"/>
    <w:rsid w:val="00C105DF"/>
    <w:rsid w:val="00C16BF5"/>
    <w:rsid w:val="00C201E0"/>
    <w:rsid w:val="00C202B7"/>
    <w:rsid w:val="00C20DC3"/>
    <w:rsid w:val="00C22712"/>
    <w:rsid w:val="00C235AE"/>
    <w:rsid w:val="00C26F69"/>
    <w:rsid w:val="00C30BBA"/>
    <w:rsid w:val="00C30CB3"/>
    <w:rsid w:val="00C364DF"/>
    <w:rsid w:val="00C37B2B"/>
    <w:rsid w:val="00C37B90"/>
    <w:rsid w:val="00C418EF"/>
    <w:rsid w:val="00C4536D"/>
    <w:rsid w:val="00C60707"/>
    <w:rsid w:val="00C6254F"/>
    <w:rsid w:val="00C71E9E"/>
    <w:rsid w:val="00C80849"/>
    <w:rsid w:val="00C848AC"/>
    <w:rsid w:val="00C85B2E"/>
    <w:rsid w:val="00C9056E"/>
    <w:rsid w:val="00C908F2"/>
    <w:rsid w:val="00C9180B"/>
    <w:rsid w:val="00C91F9D"/>
    <w:rsid w:val="00C95A6F"/>
    <w:rsid w:val="00C96D01"/>
    <w:rsid w:val="00C96D61"/>
    <w:rsid w:val="00C97CFE"/>
    <w:rsid w:val="00CA231B"/>
    <w:rsid w:val="00CA2E9B"/>
    <w:rsid w:val="00CA596F"/>
    <w:rsid w:val="00CA712B"/>
    <w:rsid w:val="00CB539A"/>
    <w:rsid w:val="00CC00E4"/>
    <w:rsid w:val="00CC174D"/>
    <w:rsid w:val="00CC47CE"/>
    <w:rsid w:val="00CC4917"/>
    <w:rsid w:val="00CC54F9"/>
    <w:rsid w:val="00CD220E"/>
    <w:rsid w:val="00CD2411"/>
    <w:rsid w:val="00CD24AD"/>
    <w:rsid w:val="00CD58D4"/>
    <w:rsid w:val="00CD6A42"/>
    <w:rsid w:val="00CE5EAC"/>
    <w:rsid w:val="00CE66E8"/>
    <w:rsid w:val="00CE6C99"/>
    <w:rsid w:val="00CF421A"/>
    <w:rsid w:val="00CF4981"/>
    <w:rsid w:val="00CF4EAE"/>
    <w:rsid w:val="00CF7D46"/>
    <w:rsid w:val="00D0068D"/>
    <w:rsid w:val="00D0251A"/>
    <w:rsid w:val="00D04952"/>
    <w:rsid w:val="00D04A9C"/>
    <w:rsid w:val="00D06264"/>
    <w:rsid w:val="00D12F98"/>
    <w:rsid w:val="00D17375"/>
    <w:rsid w:val="00D242A0"/>
    <w:rsid w:val="00D25A50"/>
    <w:rsid w:val="00D26A78"/>
    <w:rsid w:val="00D27701"/>
    <w:rsid w:val="00D308AD"/>
    <w:rsid w:val="00D310FF"/>
    <w:rsid w:val="00D352E3"/>
    <w:rsid w:val="00D415DD"/>
    <w:rsid w:val="00D420BE"/>
    <w:rsid w:val="00D4441E"/>
    <w:rsid w:val="00D5157F"/>
    <w:rsid w:val="00D52D89"/>
    <w:rsid w:val="00D56B24"/>
    <w:rsid w:val="00D57280"/>
    <w:rsid w:val="00D574F8"/>
    <w:rsid w:val="00D644FF"/>
    <w:rsid w:val="00D6506F"/>
    <w:rsid w:val="00D6575C"/>
    <w:rsid w:val="00D67F21"/>
    <w:rsid w:val="00D70AFE"/>
    <w:rsid w:val="00D77330"/>
    <w:rsid w:val="00D8059A"/>
    <w:rsid w:val="00D80FC8"/>
    <w:rsid w:val="00D840E3"/>
    <w:rsid w:val="00D8498A"/>
    <w:rsid w:val="00D84AD3"/>
    <w:rsid w:val="00D87182"/>
    <w:rsid w:val="00D96079"/>
    <w:rsid w:val="00D971B5"/>
    <w:rsid w:val="00DA0561"/>
    <w:rsid w:val="00DA23AA"/>
    <w:rsid w:val="00DA4BAC"/>
    <w:rsid w:val="00DA5F75"/>
    <w:rsid w:val="00DA7058"/>
    <w:rsid w:val="00DA7DFB"/>
    <w:rsid w:val="00DB5060"/>
    <w:rsid w:val="00DC419D"/>
    <w:rsid w:val="00DC4349"/>
    <w:rsid w:val="00DD42F5"/>
    <w:rsid w:val="00DD52FE"/>
    <w:rsid w:val="00DD54D8"/>
    <w:rsid w:val="00DE0934"/>
    <w:rsid w:val="00DE0BC2"/>
    <w:rsid w:val="00DE1CB0"/>
    <w:rsid w:val="00DE62AC"/>
    <w:rsid w:val="00DE7271"/>
    <w:rsid w:val="00DE7F30"/>
    <w:rsid w:val="00DF1060"/>
    <w:rsid w:val="00DF10FC"/>
    <w:rsid w:val="00DF6702"/>
    <w:rsid w:val="00DF7A75"/>
    <w:rsid w:val="00E048A0"/>
    <w:rsid w:val="00E06933"/>
    <w:rsid w:val="00E07C12"/>
    <w:rsid w:val="00E07DB4"/>
    <w:rsid w:val="00E11E38"/>
    <w:rsid w:val="00E128CE"/>
    <w:rsid w:val="00E14ABE"/>
    <w:rsid w:val="00E15AAD"/>
    <w:rsid w:val="00E15CAA"/>
    <w:rsid w:val="00E20B98"/>
    <w:rsid w:val="00E21135"/>
    <w:rsid w:val="00E25398"/>
    <w:rsid w:val="00E32DB3"/>
    <w:rsid w:val="00E33687"/>
    <w:rsid w:val="00E37122"/>
    <w:rsid w:val="00E402EF"/>
    <w:rsid w:val="00E50071"/>
    <w:rsid w:val="00E52BA5"/>
    <w:rsid w:val="00E538AB"/>
    <w:rsid w:val="00E53D06"/>
    <w:rsid w:val="00E55B1A"/>
    <w:rsid w:val="00E55B8F"/>
    <w:rsid w:val="00E64C0E"/>
    <w:rsid w:val="00E654F9"/>
    <w:rsid w:val="00E65935"/>
    <w:rsid w:val="00E67DAC"/>
    <w:rsid w:val="00E7249C"/>
    <w:rsid w:val="00E72C4B"/>
    <w:rsid w:val="00E734A2"/>
    <w:rsid w:val="00E774DD"/>
    <w:rsid w:val="00E83EE7"/>
    <w:rsid w:val="00E91EC4"/>
    <w:rsid w:val="00E9526B"/>
    <w:rsid w:val="00E95996"/>
    <w:rsid w:val="00EA2719"/>
    <w:rsid w:val="00EB4C88"/>
    <w:rsid w:val="00EB52B1"/>
    <w:rsid w:val="00EB70AD"/>
    <w:rsid w:val="00EB7F3E"/>
    <w:rsid w:val="00EB7FE2"/>
    <w:rsid w:val="00EC0207"/>
    <w:rsid w:val="00EC18F3"/>
    <w:rsid w:val="00EC32EA"/>
    <w:rsid w:val="00EC671B"/>
    <w:rsid w:val="00ED3281"/>
    <w:rsid w:val="00ED45CD"/>
    <w:rsid w:val="00ED606B"/>
    <w:rsid w:val="00ED7A2E"/>
    <w:rsid w:val="00EE09D8"/>
    <w:rsid w:val="00EE14B6"/>
    <w:rsid w:val="00EE4759"/>
    <w:rsid w:val="00EE501A"/>
    <w:rsid w:val="00EE547C"/>
    <w:rsid w:val="00EF40DF"/>
    <w:rsid w:val="00EF4AF7"/>
    <w:rsid w:val="00EF608E"/>
    <w:rsid w:val="00F00ABB"/>
    <w:rsid w:val="00F02BAE"/>
    <w:rsid w:val="00F041E0"/>
    <w:rsid w:val="00F044AE"/>
    <w:rsid w:val="00F04C6D"/>
    <w:rsid w:val="00F04E75"/>
    <w:rsid w:val="00F0728A"/>
    <w:rsid w:val="00F122BC"/>
    <w:rsid w:val="00F155C1"/>
    <w:rsid w:val="00F20D06"/>
    <w:rsid w:val="00F2180F"/>
    <w:rsid w:val="00F24533"/>
    <w:rsid w:val="00F268A9"/>
    <w:rsid w:val="00F3012D"/>
    <w:rsid w:val="00F30DE1"/>
    <w:rsid w:val="00F317AE"/>
    <w:rsid w:val="00F45E3A"/>
    <w:rsid w:val="00F470E0"/>
    <w:rsid w:val="00F47D4E"/>
    <w:rsid w:val="00F509DE"/>
    <w:rsid w:val="00F52570"/>
    <w:rsid w:val="00F60D37"/>
    <w:rsid w:val="00F60DC0"/>
    <w:rsid w:val="00F63EA6"/>
    <w:rsid w:val="00F64532"/>
    <w:rsid w:val="00F647E2"/>
    <w:rsid w:val="00F71392"/>
    <w:rsid w:val="00F74B2B"/>
    <w:rsid w:val="00F75463"/>
    <w:rsid w:val="00F76866"/>
    <w:rsid w:val="00F773BB"/>
    <w:rsid w:val="00F81784"/>
    <w:rsid w:val="00F831E4"/>
    <w:rsid w:val="00F90A17"/>
    <w:rsid w:val="00F92120"/>
    <w:rsid w:val="00F94145"/>
    <w:rsid w:val="00F9427B"/>
    <w:rsid w:val="00F94581"/>
    <w:rsid w:val="00F94656"/>
    <w:rsid w:val="00FA3D03"/>
    <w:rsid w:val="00FA450E"/>
    <w:rsid w:val="00FA780E"/>
    <w:rsid w:val="00FB6C34"/>
    <w:rsid w:val="00FC5D24"/>
    <w:rsid w:val="00FC6C46"/>
    <w:rsid w:val="00FD0EF0"/>
    <w:rsid w:val="00FD11CB"/>
    <w:rsid w:val="00FD1E9D"/>
    <w:rsid w:val="00FD70B5"/>
    <w:rsid w:val="00FE3168"/>
    <w:rsid w:val="00FE70C8"/>
    <w:rsid w:val="00FF12F2"/>
    <w:rsid w:val="00FF24BE"/>
    <w:rsid w:val="00FF3132"/>
    <w:rsid w:val="00FF33F6"/>
    <w:rsid w:val="00FF56B5"/>
    <w:rsid w:val="00FF56F8"/>
    <w:rsid w:val="00FF5C3C"/>
    <w:rsid w:val="00FF64F1"/>
    <w:rsid w:val="00FF6F85"/>
    <w:rsid w:val="00FF728F"/>
    <w:rsid w:val="0113CF02"/>
    <w:rsid w:val="01C3C070"/>
    <w:rsid w:val="02CB4BF0"/>
    <w:rsid w:val="0549DE02"/>
    <w:rsid w:val="0610F1A5"/>
    <w:rsid w:val="074063C0"/>
    <w:rsid w:val="0756145F"/>
    <w:rsid w:val="07C6F610"/>
    <w:rsid w:val="07EC8511"/>
    <w:rsid w:val="087A9821"/>
    <w:rsid w:val="08EC1031"/>
    <w:rsid w:val="090B1FA0"/>
    <w:rsid w:val="0B6B6E9C"/>
    <w:rsid w:val="0EA2CBA4"/>
    <w:rsid w:val="0F25400A"/>
    <w:rsid w:val="0F63708B"/>
    <w:rsid w:val="0F9742B5"/>
    <w:rsid w:val="1016E16C"/>
    <w:rsid w:val="11255468"/>
    <w:rsid w:val="14399266"/>
    <w:rsid w:val="16929964"/>
    <w:rsid w:val="17300B81"/>
    <w:rsid w:val="18E23FB2"/>
    <w:rsid w:val="199B02AA"/>
    <w:rsid w:val="1A55F8B2"/>
    <w:rsid w:val="1B3F2EB0"/>
    <w:rsid w:val="1C8AE773"/>
    <w:rsid w:val="1D898B4E"/>
    <w:rsid w:val="1F82DAE5"/>
    <w:rsid w:val="211CD4B0"/>
    <w:rsid w:val="21641C55"/>
    <w:rsid w:val="23795559"/>
    <w:rsid w:val="239CC12B"/>
    <w:rsid w:val="264B2035"/>
    <w:rsid w:val="29B2D398"/>
    <w:rsid w:val="29E8AA4E"/>
    <w:rsid w:val="2C20D9F1"/>
    <w:rsid w:val="2CB49E92"/>
    <w:rsid w:val="2ECBD21E"/>
    <w:rsid w:val="2FA7E798"/>
    <w:rsid w:val="2FBC80B5"/>
    <w:rsid w:val="31086EFE"/>
    <w:rsid w:val="31C14446"/>
    <w:rsid w:val="32F9534D"/>
    <w:rsid w:val="363D5B51"/>
    <w:rsid w:val="36F88057"/>
    <w:rsid w:val="39B7DC20"/>
    <w:rsid w:val="3BCF77D7"/>
    <w:rsid w:val="3CB2A690"/>
    <w:rsid w:val="3D0A782C"/>
    <w:rsid w:val="3D1BB196"/>
    <w:rsid w:val="3D540302"/>
    <w:rsid w:val="3E5CD00B"/>
    <w:rsid w:val="3EA2577A"/>
    <w:rsid w:val="405E161D"/>
    <w:rsid w:val="40CAFFF8"/>
    <w:rsid w:val="44D1D744"/>
    <w:rsid w:val="46A73E83"/>
    <w:rsid w:val="46B9689E"/>
    <w:rsid w:val="491B9DB7"/>
    <w:rsid w:val="49BFE5AD"/>
    <w:rsid w:val="4DE83E52"/>
    <w:rsid w:val="504A2DAD"/>
    <w:rsid w:val="50F30B8A"/>
    <w:rsid w:val="5189441B"/>
    <w:rsid w:val="5494DE85"/>
    <w:rsid w:val="5495E49B"/>
    <w:rsid w:val="55110511"/>
    <w:rsid w:val="58A431D8"/>
    <w:rsid w:val="59178F9F"/>
    <w:rsid w:val="598A039E"/>
    <w:rsid w:val="5C8B71E7"/>
    <w:rsid w:val="5D650418"/>
    <w:rsid w:val="5F24ABCF"/>
    <w:rsid w:val="5F5F58AF"/>
    <w:rsid w:val="6058FC22"/>
    <w:rsid w:val="6086C6B3"/>
    <w:rsid w:val="65F0B342"/>
    <w:rsid w:val="67319ABB"/>
    <w:rsid w:val="67E8D6DA"/>
    <w:rsid w:val="6A4BF6E9"/>
    <w:rsid w:val="6DA71D96"/>
    <w:rsid w:val="6E6ACA2E"/>
    <w:rsid w:val="6E994AB0"/>
    <w:rsid w:val="6F7D50D7"/>
    <w:rsid w:val="701F452A"/>
    <w:rsid w:val="71A22923"/>
    <w:rsid w:val="7516BC0D"/>
    <w:rsid w:val="78458276"/>
    <w:rsid w:val="796DA0ED"/>
    <w:rsid w:val="7A293630"/>
    <w:rsid w:val="7AE5B04D"/>
    <w:rsid w:val="7AEF9DB4"/>
    <w:rsid w:val="7B19D0B0"/>
    <w:rsid w:val="7D18554B"/>
    <w:rsid w:val="7DEA8166"/>
    <w:rsid w:val="7F32D592"/>
    <w:rsid w:val="7F5533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370A02"/>
  <w15:docId w15:val="{9DC6D222-A9BD-4598-AD2B-7B502EBF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016"/>
    <w:rPr>
      <w:sz w:val="24"/>
      <w:szCs w:val="24"/>
    </w:rPr>
  </w:style>
  <w:style w:type="paragraph" w:styleId="Heading1">
    <w:name w:val="heading 1"/>
    <w:basedOn w:val="Normal"/>
    <w:next w:val="Normal"/>
    <w:link w:val="Heading1Char"/>
    <w:qFormat/>
    <w:rsid w:val="00E50071"/>
    <w:pPr>
      <w:keepNext/>
      <w:spacing w:before="240" w:after="60"/>
      <w:outlineLvl w:val="0"/>
    </w:pPr>
    <w:rPr>
      <w:rFonts w:ascii="Futura-Light" w:hAnsi="Futura-Light" w:cs="Arial"/>
      <w:b/>
      <w:bCs/>
      <w:kern w:val="32"/>
      <w:sz w:val="28"/>
      <w:szCs w:val="32"/>
      <w:lang w:val="en-US" w:eastAsia="en-US"/>
    </w:rPr>
  </w:style>
  <w:style w:type="paragraph" w:styleId="Heading2">
    <w:name w:val="heading 2"/>
    <w:basedOn w:val="Normal"/>
    <w:next w:val="Normal"/>
    <w:link w:val="Heading2Char"/>
    <w:uiPriority w:val="9"/>
    <w:unhideWhenUsed/>
    <w:qFormat/>
    <w:rsid w:val="00E52BA5"/>
    <w:pPr>
      <w:keepNext/>
      <w:keepLines/>
      <w:spacing w:before="200" w:after="240" w:line="276" w:lineRule="auto"/>
      <w:outlineLvl w:val="1"/>
    </w:pPr>
    <w:rPr>
      <w:rFonts w:ascii="Calibri" w:hAnsi="Calibri"/>
      <w:b/>
      <w:bCs/>
      <w:color w:val="005581"/>
      <w:sz w:val="28"/>
      <w:szCs w:val="26"/>
      <w:lang w:eastAsia="en-US"/>
    </w:rPr>
  </w:style>
  <w:style w:type="paragraph" w:styleId="Heading3">
    <w:name w:val="heading 3"/>
    <w:basedOn w:val="Normal"/>
    <w:next w:val="Normal"/>
    <w:link w:val="Heading3Char"/>
    <w:semiHidden/>
    <w:unhideWhenUsed/>
    <w:qFormat/>
    <w:rsid w:val="00A7573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6184"/>
    <w:pPr>
      <w:tabs>
        <w:tab w:val="center" w:pos="4153"/>
        <w:tab w:val="right" w:pos="8306"/>
      </w:tabs>
    </w:pPr>
  </w:style>
  <w:style w:type="paragraph" w:styleId="Footer">
    <w:name w:val="footer"/>
    <w:basedOn w:val="Normal"/>
    <w:link w:val="FooterChar"/>
    <w:uiPriority w:val="99"/>
    <w:rsid w:val="008C6184"/>
    <w:pPr>
      <w:tabs>
        <w:tab w:val="center" w:pos="4153"/>
        <w:tab w:val="right" w:pos="8306"/>
      </w:tabs>
    </w:pPr>
  </w:style>
  <w:style w:type="character" w:styleId="PageNumber">
    <w:name w:val="page number"/>
    <w:basedOn w:val="DefaultParagraphFont"/>
    <w:rsid w:val="008C6184"/>
  </w:style>
  <w:style w:type="table" w:styleId="TableGrid">
    <w:name w:val="Table Grid"/>
    <w:basedOn w:val="TableNormal"/>
    <w:uiPriority w:val="39"/>
    <w:rsid w:val="008C6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C6184"/>
    <w:rPr>
      <w:color w:val="0000FF"/>
      <w:u w:val="single"/>
    </w:rPr>
  </w:style>
  <w:style w:type="paragraph" w:styleId="BodyText">
    <w:name w:val="Body Text"/>
    <w:basedOn w:val="Normal"/>
    <w:link w:val="BodyTextChar"/>
    <w:rsid w:val="00DE7F30"/>
    <w:pPr>
      <w:overflowPunct w:val="0"/>
      <w:autoSpaceDE w:val="0"/>
      <w:autoSpaceDN w:val="0"/>
      <w:adjustRightInd w:val="0"/>
    </w:pPr>
    <w:rPr>
      <w:szCs w:val="20"/>
      <w:lang w:val="en-US" w:eastAsia="en-US"/>
    </w:rPr>
  </w:style>
  <w:style w:type="paragraph" w:styleId="BodyTextIndent">
    <w:name w:val="Body Text Indent"/>
    <w:basedOn w:val="Normal"/>
    <w:rsid w:val="00DE7F30"/>
    <w:pPr>
      <w:widowControl w:val="0"/>
      <w:autoSpaceDE w:val="0"/>
      <w:autoSpaceDN w:val="0"/>
      <w:adjustRightInd w:val="0"/>
      <w:ind w:left="720"/>
    </w:pPr>
    <w:rPr>
      <w:i/>
      <w:iCs/>
      <w:szCs w:val="20"/>
      <w:lang w:val="en-US" w:eastAsia="en-US"/>
    </w:rPr>
  </w:style>
  <w:style w:type="paragraph" w:styleId="BodyText2">
    <w:name w:val="Body Text 2"/>
    <w:basedOn w:val="Normal"/>
    <w:link w:val="BodyText2Char"/>
    <w:rsid w:val="00DE7F30"/>
    <w:pPr>
      <w:jc w:val="center"/>
    </w:pPr>
    <w:rPr>
      <w:szCs w:val="20"/>
      <w:lang w:val="en-US" w:eastAsia="en-US"/>
    </w:rPr>
  </w:style>
  <w:style w:type="paragraph" w:styleId="BodyTextIndent2">
    <w:name w:val="Body Text Indent 2"/>
    <w:basedOn w:val="Normal"/>
    <w:rsid w:val="00DE7F30"/>
    <w:pPr>
      <w:ind w:left="360"/>
    </w:pPr>
    <w:rPr>
      <w:rFonts w:ascii="Futura-Light" w:hAnsi="Futura-Light"/>
      <w:szCs w:val="22"/>
      <w:lang w:eastAsia="en-US"/>
    </w:rPr>
  </w:style>
  <w:style w:type="character" w:customStyle="1" w:styleId="bcdisabled1">
    <w:name w:val="bcdisabled1"/>
    <w:basedOn w:val="DefaultParagraphFont"/>
    <w:rsid w:val="001309CB"/>
    <w:rPr>
      <w:b w:val="0"/>
      <w:bCs w:val="0"/>
      <w:color w:val="6B6B6B"/>
    </w:rPr>
  </w:style>
  <w:style w:type="character" w:customStyle="1" w:styleId="bcactive1">
    <w:name w:val="bcactive1"/>
    <w:basedOn w:val="DefaultParagraphFont"/>
    <w:rsid w:val="001309CB"/>
    <w:rPr>
      <w:b/>
      <w:bCs/>
      <w:color w:val="000000"/>
    </w:rPr>
  </w:style>
  <w:style w:type="paragraph" w:styleId="BodyText3">
    <w:name w:val="Body Text 3"/>
    <w:basedOn w:val="Normal"/>
    <w:rsid w:val="00901704"/>
    <w:pPr>
      <w:spacing w:after="120"/>
    </w:pPr>
    <w:rPr>
      <w:sz w:val="16"/>
      <w:szCs w:val="16"/>
    </w:rPr>
  </w:style>
  <w:style w:type="paragraph" w:styleId="BalloonText">
    <w:name w:val="Balloon Text"/>
    <w:basedOn w:val="Normal"/>
    <w:semiHidden/>
    <w:rsid w:val="006060A8"/>
    <w:rPr>
      <w:rFonts w:ascii="Tahoma" w:hAnsi="Tahoma" w:cs="Tahoma"/>
      <w:sz w:val="16"/>
      <w:szCs w:val="16"/>
    </w:rPr>
  </w:style>
  <w:style w:type="paragraph" w:styleId="ListParagraph">
    <w:name w:val="List Paragraph"/>
    <w:basedOn w:val="Normal"/>
    <w:uiPriority w:val="34"/>
    <w:qFormat/>
    <w:rsid w:val="007D436F"/>
    <w:pPr>
      <w:spacing w:after="200" w:line="276" w:lineRule="auto"/>
      <w:ind w:left="720"/>
      <w:contextualSpacing/>
    </w:pPr>
    <w:rPr>
      <w:rFonts w:ascii="Calibri" w:eastAsia="Calibri" w:hAnsi="Calibri"/>
      <w:sz w:val="22"/>
      <w:szCs w:val="22"/>
      <w:lang w:eastAsia="en-US"/>
    </w:rPr>
  </w:style>
  <w:style w:type="character" w:styleId="FollowedHyperlink">
    <w:name w:val="FollowedHyperlink"/>
    <w:basedOn w:val="DefaultParagraphFont"/>
    <w:rsid w:val="00CC174D"/>
    <w:rPr>
      <w:color w:val="800080"/>
      <w:u w:val="single"/>
    </w:rPr>
  </w:style>
  <w:style w:type="character" w:styleId="CommentReference">
    <w:name w:val="annotation reference"/>
    <w:basedOn w:val="DefaultParagraphFont"/>
    <w:rsid w:val="00DA23AA"/>
    <w:rPr>
      <w:sz w:val="16"/>
      <w:szCs w:val="16"/>
    </w:rPr>
  </w:style>
  <w:style w:type="paragraph" w:styleId="CommentText">
    <w:name w:val="annotation text"/>
    <w:basedOn w:val="Normal"/>
    <w:link w:val="CommentTextChar"/>
    <w:rsid w:val="00DA23AA"/>
    <w:rPr>
      <w:sz w:val="20"/>
      <w:szCs w:val="20"/>
    </w:rPr>
  </w:style>
  <w:style w:type="character" w:customStyle="1" w:styleId="CommentTextChar">
    <w:name w:val="Comment Text Char"/>
    <w:basedOn w:val="DefaultParagraphFont"/>
    <w:link w:val="CommentText"/>
    <w:rsid w:val="00DA23AA"/>
  </w:style>
  <w:style w:type="paragraph" w:styleId="CommentSubject">
    <w:name w:val="annotation subject"/>
    <w:basedOn w:val="CommentText"/>
    <w:next w:val="CommentText"/>
    <w:link w:val="CommentSubjectChar"/>
    <w:rsid w:val="00DA23AA"/>
    <w:rPr>
      <w:b/>
      <w:bCs/>
    </w:rPr>
  </w:style>
  <w:style w:type="character" w:customStyle="1" w:styleId="CommentSubjectChar">
    <w:name w:val="Comment Subject Char"/>
    <w:basedOn w:val="CommentTextChar"/>
    <w:link w:val="CommentSubject"/>
    <w:rsid w:val="00DA23AA"/>
    <w:rPr>
      <w:b/>
      <w:bCs/>
    </w:rPr>
  </w:style>
  <w:style w:type="character" w:customStyle="1" w:styleId="Heading1Char">
    <w:name w:val="Heading 1 Char"/>
    <w:basedOn w:val="DefaultParagraphFont"/>
    <w:link w:val="Heading1"/>
    <w:rsid w:val="00E50071"/>
    <w:rPr>
      <w:rFonts w:ascii="Futura-Light" w:hAnsi="Futura-Light" w:cs="Arial"/>
      <w:b/>
      <w:bCs/>
      <w:kern w:val="32"/>
      <w:sz w:val="28"/>
      <w:szCs w:val="32"/>
      <w:lang w:val="en-US" w:eastAsia="en-US"/>
    </w:rPr>
  </w:style>
  <w:style w:type="paragraph" w:styleId="FootnoteText">
    <w:name w:val="footnote text"/>
    <w:basedOn w:val="Normal"/>
    <w:link w:val="FootnoteTextChar"/>
    <w:uiPriority w:val="99"/>
    <w:rsid w:val="0050377A"/>
    <w:pPr>
      <w:spacing w:after="120"/>
    </w:pPr>
    <w:rPr>
      <w:rFonts w:ascii="Arial" w:hAnsi="Arial"/>
      <w:sz w:val="20"/>
      <w:szCs w:val="20"/>
      <w:lang w:val="en-US" w:eastAsia="en-US"/>
    </w:rPr>
  </w:style>
  <w:style w:type="character" w:customStyle="1" w:styleId="FootnoteTextChar">
    <w:name w:val="Footnote Text Char"/>
    <w:basedOn w:val="DefaultParagraphFont"/>
    <w:link w:val="FootnoteText"/>
    <w:uiPriority w:val="99"/>
    <w:rsid w:val="0050377A"/>
    <w:rPr>
      <w:rFonts w:ascii="Arial" w:hAnsi="Arial"/>
      <w:lang w:val="en-US" w:eastAsia="en-US"/>
    </w:rPr>
  </w:style>
  <w:style w:type="character" w:styleId="FootnoteReference">
    <w:name w:val="footnote reference"/>
    <w:basedOn w:val="DefaultParagraphFont"/>
    <w:uiPriority w:val="99"/>
    <w:rsid w:val="0050377A"/>
    <w:rPr>
      <w:rFonts w:cs="Times New Roman"/>
      <w:vertAlign w:val="superscript"/>
    </w:rPr>
  </w:style>
  <w:style w:type="character" w:customStyle="1" w:styleId="Heading2Char">
    <w:name w:val="Heading 2 Char"/>
    <w:basedOn w:val="DefaultParagraphFont"/>
    <w:link w:val="Heading2"/>
    <w:uiPriority w:val="9"/>
    <w:rsid w:val="00E52BA5"/>
    <w:rPr>
      <w:rFonts w:ascii="Calibri" w:hAnsi="Calibri"/>
      <w:b/>
      <w:bCs/>
      <w:color w:val="005581"/>
      <w:sz w:val="28"/>
      <w:szCs w:val="26"/>
      <w:lang w:eastAsia="en-US"/>
    </w:rPr>
  </w:style>
  <w:style w:type="character" w:customStyle="1" w:styleId="HeaderChar">
    <w:name w:val="Header Char"/>
    <w:link w:val="Header"/>
    <w:uiPriority w:val="99"/>
    <w:rsid w:val="00875263"/>
    <w:rPr>
      <w:sz w:val="24"/>
      <w:szCs w:val="24"/>
    </w:rPr>
  </w:style>
  <w:style w:type="character" w:customStyle="1" w:styleId="FooterChar">
    <w:name w:val="Footer Char"/>
    <w:link w:val="Footer"/>
    <w:uiPriority w:val="99"/>
    <w:rsid w:val="00875263"/>
    <w:rPr>
      <w:sz w:val="24"/>
      <w:szCs w:val="24"/>
    </w:rPr>
  </w:style>
  <w:style w:type="paragraph" w:customStyle="1" w:styleId="Default">
    <w:name w:val="Default"/>
    <w:rsid w:val="00D242A0"/>
    <w:pPr>
      <w:autoSpaceDE w:val="0"/>
      <w:autoSpaceDN w:val="0"/>
      <w:adjustRightInd w:val="0"/>
    </w:pPr>
    <w:rPr>
      <w:rFonts w:ascii="Arial" w:eastAsiaTheme="minorHAnsi" w:hAnsi="Arial" w:cs="Arial"/>
      <w:color w:val="000000"/>
      <w:sz w:val="24"/>
      <w:szCs w:val="24"/>
      <w:lang w:eastAsia="en-US"/>
    </w:rPr>
  </w:style>
  <w:style w:type="paragraph" w:styleId="Title">
    <w:name w:val="Title"/>
    <w:basedOn w:val="Normal"/>
    <w:next w:val="Normal"/>
    <w:link w:val="TitleChar"/>
    <w:qFormat/>
    <w:rsid w:val="00037F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37F0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010E41"/>
    <w:rPr>
      <w:sz w:val="24"/>
      <w:szCs w:val="24"/>
    </w:rPr>
  </w:style>
  <w:style w:type="character" w:styleId="Emphasis">
    <w:name w:val="Emphasis"/>
    <w:basedOn w:val="DefaultParagraphFont"/>
    <w:uiPriority w:val="20"/>
    <w:qFormat/>
    <w:rsid w:val="00145477"/>
    <w:rPr>
      <w:i/>
      <w:iCs/>
    </w:rPr>
  </w:style>
  <w:style w:type="character" w:customStyle="1" w:styleId="BodyText2Char">
    <w:name w:val="Body Text 2 Char"/>
    <w:basedOn w:val="DefaultParagraphFont"/>
    <w:link w:val="BodyText2"/>
    <w:rsid w:val="00DE7271"/>
    <w:rPr>
      <w:sz w:val="24"/>
      <w:lang w:val="en-US" w:eastAsia="en-US"/>
    </w:rPr>
  </w:style>
  <w:style w:type="character" w:customStyle="1" w:styleId="BodyTextChar">
    <w:name w:val="Body Text Char"/>
    <w:basedOn w:val="DefaultParagraphFont"/>
    <w:link w:val="BodyText"/>
    <w:rsid w:val="00EE4759"/>
    <w:rPr>
      <w:sz w:val="24"/>
      <w:lang w:val="en-US" w:eastAsia="en-US"/>
    </w:rPr>
  </w:style>
  <w:style w:type="paragraph" w:customStyle="1" w:styleId="TableParagraph">
    <w:name w:val="Table Paragraph"/>
    <w:basedOn w:val="Normal"/>
    <w:uiPriority w:val="1"/>
    <w:qFormat/>
    <w:rsid w:val="00E048A0"/>
    <w:pPr>
      <w:widowControl w:val="0"/>
    </w:pPr>
    <w:rPr>
      <w:rFonts w:asciiTheme="minorHAnsi" w:eastAsiaTheme="minorHAnsi" w:hAnsiTheme="minorHAnsi" w:cstheme="minorBidi"/>
      <w:sz w:val="22"/>
      <w:szCs w:val="22"/>
      <w:lang w:val="en-US" w:eastAsia="en-US"/>
    </w:rPr>
  </w:style>
  <w:style w:type="paragraph" w:customStyle="1" w:styleId="PolicyHeading2-Accessible">
    <w:name w:val="Policy Heading 2 - Accessible"/>
    <w:basedOn w:val="Heading2"/>
    <w:next w:val="Policy-BodyText"/>
    <w:qFormat/>
    <w:rsid w:val="00A7573C"/>
    <w:pPr>
      <w:keepNext w:val="0"/>
      <w:keepLines w:val="0"/>
      <w:numPr>
        <w:numId w:val="1"/>
      </w:numPr>
      <w:spacing w:before="120" w:after="0" w:line="240" w:lineRule="auto"/>
    </w:pPr>
    <w:rPr>
      <w:rFonts w:cs="Calibri"/>
      <w:color w:val="auto"/>
      <w:szCs w:val="22"/>
    </w:rPr>
  </w:style>
  <w:style w:type="paragraph" w:customStyle="1" w:styleId="Policy-BodyText">
    <w:name w:val="Policy - Body Text"/>
    <w:basedOn w:val="Normal"/>
    <w:qFormat/>
    <w:rsid w:val="00A7573C"/>
    <w:pPr>
      <w:numPr>
        <w:ilvl w:val="1"/>
        <w:numId w:val="1"/>
      </w:numPr>
      <w:contextualSpacing/>
    </w:pPr>
    <w:rPr>
      <w:rFonts w:ascii="Calibri" w:eastAsiaTheme="minorEastAsia" w:hAnsi="Calibri" w:cstheme="minorBidi"/>
      <w:lang w:eastAsia="en-US"/>
    </w:rPr>
  </w:style>
  <w:style w:type="paragraph" w:customStyle="1" w:styleId="ExplanatoryText">
    <w:name w:val="Explanatory Text"/>
    <w:basedOn w:val="Normal"/>
    <w:link w:val="ExplanatoryTextChar"/>
    <w:rsid w:val="00A7573C"/>
    <w:pPr>
      <w:numPr>
        <w:ilvl w:val="1"/>
      </w:numPr>
      <w:tabs>
        <w:tab w:val="num" w:pos="851"/>
      </w:tabs>
      <w:ind w:left="851" w:hanging="851"/>
      <w:contextualSpacing/>
    </w:pPr>
    <w:rPr>
      <w:rFonts w:ascii="Calibri" w:hAnsi="Calibri" w:cs="Calibri"/>
      <w:b/>
      <w:sz w:val="22"/>
      <w:szCs w:val="22"/>
      <w:lang w:eastAsia="en-US"/>
    </w:rPr>
  </w:style>
  <w:style w:type="character" w:customStyle="1" w:styleId="ExplanatoryTextChar">
    <w:name w:val="Explanatory Text Char"/>
    <w:basedOn w:val="DefaultParagraphFont"/>
    <w:link w:val="ExplanatoryText"/>
    <w:rsid w:val="00A7573C"/>
    <w:rPr>
      <w:rFonts w:ascii="Calibri" w:hAnsi="Calibri" w:cs="Calibri"/>
      <w:b/>
      <w:sz w:val="22"/>
      <w:szCs w:val="22"/>
      <w:lang w:eastAsia="en-US"/>
    </w:rPr>
  </w:style>
  <w:style w:type="paragraph" w:customStyle="1" w:styleId="PolicySubHeading3-Accessible">
    <w:name w:val="Policy Sub Heading 3 - Accessible"/>
    <w:basedOn w:val="Heading3"/>
    <w:next w:val="PolicyHeading2-Accessible"/>
    <w:qFormat/>
    <w:rsid w:val="00A7573C"/>
    <w:pPr>
      <w:keepNext w:val="0"/>
      <w:keepLines w:val="0"/>
      <w:tabs>
        <w:tab w:val="left" w:pos="426"/>
      </w:tabs>
      <w:spacing w:before="60" w:line="264" w:lineRule="auto"/>
      <w:ind w:left="1134" w:hanging="567"/>
    </w:pPr>
    <w:rPr>
      <w:rFonts w:ascii="Calibri" w:eastAsiaTheme="minorEastAsia" w:hAnsi="Calibri" w:cstheme="minorBidi"/>
      <w:color w:val="auto"/>
      <w:szCs w:val="28"/>
      <w:u w:val="single"/>
      <w:lang w:eastAsia="en-US"/>
    </w:rPr>
  </w:style>
  <w:style w:type="character" w:customStyle="1" w:styleId="Heading3Char">
    <w:name w:val="Heading 3 Char"/>
    <w:basedOn w:val="DefaultParagraphFont"/>
    <w:link w:val="Heading3"/>
    <w:semiHidden/>
    <w:rsid w:val="00A7573C"/>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qFormat/>
    <w:rsid w:val="002109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2983">
      <w:bodyDiv w:val="1"/>
      <w:marLeft w:val="0"/>
      <w:marRight w:val="0"/>
      <w:marTop w:val="0"/>
      <w:marBottom w:val="0"/>
      <w:divBdr>
        <w:top w:val="none" w:sz="0" w:space="0" w:color="auto"/>
        <w:left w:val="none" w:sz="0" w:space="0" w:color="auto"/>
        <w:bottom w:val="none" w:sz="0" w:space="0" w:color="auto"/>
        <w:right w:val="none" w:sz="0" w:space="0" w:color="auto"/>
      </w:divBdr>
    </w:div>
    <w:div w:id="71778236">
      <w:bodyDiv w:val="1"/>
      <w:marLeft w:val="0"/>
      <w:marRight w:val="0"/>
      <w:marTop w:val="0"/>
      <w:marBottom w:val="0"/>
      <w:divBdr>
        <w:top w:val="none" w:sz="0" w:space="0" w:color="auto"/>
        <w:left w:val="none" w:sz="0" w:space="0" w:color="auto"/>
        <w:bottom w:val="none" w:sz="0" w:space="0" w:color="auto"/>
        <w:right w:val="none" w:sz="0" w:space="0" w:color="auto"/>
      </w:divBdr>
    </w:div>
    <w:div w:id="140273851">
      <w:bodyDiv w:val="1"/>
      <w:marLeft w:val="0"/>
      <w:marRight w:val="0"/>
      <w:marTop w:val="0"/>
      <w:marBottom w:val="0"/>
      <w:divBdr>
        <w:top w:val="none" w:sz="0" w:space="0" w:color="auto"/>
        <w:left w:val="none" w:sz="0" w:space="0" w:color="auto"/>
        <w:bottom w:val="none" w:sz="0" w:space="0" w:color="auto"/>
        <w:right w:val="none" w:sz="0" w:space="0" w:color="auto"/>
      </w:divBdr>
    </w:div>
    <w:div w:id="154957361">
      <w:bodyDiv w:val="1"/>
      <w:marLeft w:val="0"/>
      <w:marRight w:val="0"/>
      <w:marTop w:val="0"/>
      <w:marBottom w:val="0"/>
      <w:divBdr>
        <w:top w:val="none" w:sz="0" w:space="0" w:color="auto"/>
        <w:left w:val="none" w:sz="0" w:space="0" w:color="auto"/>
        <w:bottom w:val="none" w:sz="0" w:space="0" w:color="auto"/>
        <w:right w:val="none" w:sz="0" w:space="0" w:color="auto"/>
      </w:divBdr>
    </w:div>
    <w:div w:id="161825570">
      <w:bodyDiv w:val="1"/>
      <w:marLeft w:val="0"/>
      <w:marRight w:val="0"/>
      <w:marTop w:val="0"/>
      <w:marBottom w:val="0"/>
      <w:divBdr>
        <w:top w:val="none" w:sz="0" w:space="0" w:color="auto"/>
        <w:left w:val="none" w:sz="0" w:space="0" w:color="auto"/>
        <w:bottom w:val="none" w:sz="0" w:space="0" w:color="auto"/>
        <w:right w:val="none" w:sz="0" w:space="0" w:color="auto"/>
      </w:divBdr>
    </w:div>
    <w:div w:id="248857851">
      <w:bodyDiv w:val="1"/>
      <w:marLeft w:val="0"/>
      <w:marRight w:val="0"/>
      <w:marTop w:val="0"/>
      <w:marBottom w:val="0"/>
      <w:divBdr>
        <w:top w:val="none" w:sz="0" w:space="0" w:color="auto"/>
        <w:left w:val="none" w:sz="0" w:space="0" w:color="auto"/>
        <w:bottom w:val="none" w:sz="0" w:space="0" w:color="auto"/>
        <w:right w:val="none" w:sz="0" w:space="0" w:color="auto"/>
      </w:divBdr>
    </w:div>
    <w:div w:id="254635238">
      <w:bodyDiv w:val="1"/>
      <w:marLeft w:val="0"/>
      <w:marRight w:val="0"/>
      <w:marTop w:val="0"/>
      <w:marBottom w:val="0"/>
      <w:divBdr>
        <w:top w:val="none" w:sz="0" w:space="0" w:color="auto"/>
        <w:left w:val="none" w:sz="0" w:space="0" w:color="auto"/>
        <w:bottom w:val="none" w:sz="0" w:space="0" w:color="auto"/>
        <w:right w:val="none" w:sz="0" w:space="0" w:color="auto"/>
      </w:divBdr>
    </w:div>
    <w:div w:id="367027515">
      <w:bodyDiv w:val="1"/>
      <w:marLeft w:val="0"/>
      <w:marRight w:val="0"/>
      <w:marTop w:val="0"/>
      <w:marBottom w:val="0"/>
      <w:divBdr>
        <w:top w:val="none" w:sz="0" w:space="0" w:color="auto"/>
        <w:left w:val="none" w:sz="0" w:space="0" w:color="auto"/>
        <w:bottom w:val="none" w:sz="0" w:space="0" w:color="auto"/>
        <w:right w:val="none" w:sz="0" w:space="0" w:color="auto"/>
      </w:divBdr>
    </w:div>
    <w:div w:id="399786591">
      <w:bodyDiv w:val="1"/>
      <w:marLeft w:val="0"/>
      <w:marRight w:val="0"/>
      <w:marTop w:val="0"/>
      <w:marBottom w:val="0"/>
      <w:divBdr>
        <w:top w:val="none" w:sz="0" w:space="0" w:color="auto"/>
        <w:left w:val="none" w:sz="0" w:space="0" w:color="auto"/>
        <w:bottom w:val="none" w:sz="0" w:space="0" w:color="auto"/>
        <w:right w:val="none" w:sz="0" w:space="0" w:color="auto"/>
      </w:divBdr>
    </w:div>
    <w:div w:id="487787503">
      <w:bodyDiv w:val="1"/>
      <w:marLeft w:val="0"/>
      <w:marRight w:val="0"/>
      <w:marTop w:val="0"/>
      <w:marBottom w:val="0"/>
      <w:divBdr>
        <w:top w:val="none" w:sz="0" w:space="0" w:color="auto"/>
        <w:left w:val="none" w:sz="0" w:space="0" w:color="auto"/>
        <w:bottom w:val="none" w:sz="0" w:space="0" w:color="auto"/>
        <w:right w:val="none" w:sz="0" w:space="0" w:color="auto"/>
      </w:divBdr>
    </w:div>
    <w:div w:id="549073911">
      <w:bodyDiv w:val="1"/>
      <w:marLeft w:val="0"/>
      <w:marRight w:val="0"/>
      <w:marTop w:val="0"/>
      <w:marBottom w:val="0"/>
      <w:divBdr>
        <w:top w:val="none" w:sz="0" w:space="0" w:color="auto"/>
        <w:left w:val="none" w:sz="0" w:space="0" w:color="auto"/>
        <w:bottom w:val="none" w:sz="0" w:space="0" w:color="auto"/>
        <w:right w:val="none" w:sz="0" w:space="0" w:color="auto"/>
      </w:divBdr>
    </w:div>
    <w:div w:id="606038561">
      <w:bodyDiv w:val="1"/>
      <w:marLeft w:val="0"/>
      <w:marRight w:val="0"/>
      <w:marTop w:val="0"/>
      <w:marBottom w:val="0"/>
      <w:divBdr>
        <w:top w:val="none" w:sz="0" w:space="0" w:color="auto"/>
        <w:left w:val="none" w:sz="0" w:space="0" w:color="auto"/>
        <w:bottom w:val="none" w:sz="0" w:space="0" w:color="auto"/>
        <w:right w:val="none" w:sz="0" w:space="0" w:color="auto"/>
      </w:divBdr>
    </w:div>
    <w:div w:id="762260252">
      <w:bodyDiv w:val="1"/>
      <w:marLeft w:val="0"/>
      <w:marRight w:val="0"/>
      <w:marTop w:val="0"/>
      <w:marBottom w:val="0"/>
      <w:divBdr>
        <w:top w:val="none" w:sz="0" w:space="0" w:color="auto"/>
        <w:left w:val="none" w:sz="0" w:space="0" w:color="auto"/>
        <w:bottom w:val="none" w:sz="0" w:space="0" w:color="auto"/>
        <w:right w:val="none" w:sz="0" w:space="0" w:color="auto"/>
      </w:divBdr>
    </w:div>
    <w:div w:id="801652845">
      <w:bodyDiv w:val="1"/>
      <w:marLeft w:val="0"/>
      <w:marRight w:val="0"/>
      <w:marTop w:val="0"/>
      <w:marBottom w:val="0"/>
      <w:divBdr>
        <w:top w:val="none" w:sz="0" w:space="0" w:color="auto"/>
        <w:left w:val="none" w:sz="0" w:space="0" w:color="auto"/>
        <w:bottom w:val="none" w:sz="0" w:space="0" w:color="auto"/>
        <w:right w:val="none" w:sz="0" w:space="0" w:color="auto"/>
      </w:divBdr>
      <w:divsChild>
        <w:div w:id="841817908">
          <w:marLeft w:val="0"/>
          <w:marRight w:val="0"/>
          <w:marTop w:val="0"/>
          <w:marBottom w:val="0"/>
          <w:divBdr>
            <w:top w:val="none" w:sz="0" w:space="0" w:color="auto"/>
            <w:left w:val="none" w:sz="0" w:space="0" w:color="auto"/>
            <w:bottom w:val="none" w:sz="0" w:space="0" w:color="auto"/>
            <w:right w:val="none" w:sz="0" w:space="0" w:color="auto"/>
          </w:divBdr>
          <w:divsChild>
            <w:div w:id="398211114">
              <w:marLeft w:val="0"/>
              <w:marRight w:val="0"/>
              <w:marTop w:val="0"/>
              <w:marBottom w:val="0"/>
              <w:divBdr>
                <w:top w:val="none" w:sz="0" w:space="0" w:color="auto"/>
                <w:left w:val="none" w:sz="0" w:space="0" w:color="auto"/>
                <w:bottom w:val="none" w:sz="0" w:space="0" w:color="auto"/>
                <w:right w:val="none" w:sz="0" w:space="0" w:color="auto"/>
              </w:divBdr>
              <w:divsChild>
                <w:div w:id="1832482168">
                  <w:marLeft w:val="0"/>
                  <w:marRight w:val="0"/>
                  <w:marTop w:val="0"/>
                  <w:marBottom w:val="0"/>
                  <w:divBdr>
                    <w:top w:val="none" w:sz="0" w:space="0" w:color="auto"/>
                    <w:left w:val="none" w:sz="0" w:space="0" w:color="auto"/>
                    <w:bottom w:val="none" w:sz="0" w:space="0" w:color="auto"/>
                    <w:right w:val="none" w:sz="0" w:space="0" w:color="auto"/>
                  </w:divBdr>
                  <w:divsChild>
                    <w:div w:id="587884494">
                      <w:marLeft w:val="0"/>
                      <w:marRight w:val="0"/>
                      <w:marTop w:val="0"/>
                      <w:marBottom w:val="1095"/>
                      <w:divBdr>
                        <w:top w:val="none" w:sz="0" w:space="0" w:color="auto"/>
                        <w:left w:val="none" w:sz="0" w:space="0" w:color="auto"/>
                        <w:bottom w:val="none" w:sz="0" w:space="0" w:color="auto"/>
                        <w:right w:val="none" w:sz="0" w:space="0" w:color="auto"/>
                      </w:divBdr>
                      <w:divsChild>
                        <w:div w:id="9232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408367">
      <w:bodyDiv w:val="1"/>
      <w:marLeft w:val="0"/>
      <w:marRight w:val="0"/>
      <w:marTop w:val="0"/>
      <w:marBottom w:val="0"/>
      <w:divBdr>
        <w:top w:val="none" w:sz="0" w:space="0" w:color="auto"/>
        <w:left w:val="none" w:sz="0" w:space="0" w:color="auto"/>
        <w:bottom w:val="none" w:sz="0" w:space="0" w:color="auto"/>
        <w:right w:val="none" w:sz="0" w:space="0" w:color="auto"/>
      </w:divBdr>
    </w:div>
    <w:div w:id="995378563">
      <w:bodyDiv w:val="1"/>
      <w:marLeft w:val="0"/>
      <w:marRight w:val="0"/>
      <w:marTop w:val="0"/>
      <w:marBottom w:val="0"/>
      <w:divBdr>
        <w:top w:val="none" w:sz="0" w:space="0" w:color="auto"/>
        <w:left w:val="none" w:sz="0" w:space="0" w:color="auto"/>
        <w:bottom w:val="none" w:sz="0" w:space="0" w:color="auto"/>
        <w:right w:val="none" w:sz="0" w:space="0" w:color="auto"/>
      </w:divBdr>
    </w:div>
    <w:div w:id="1317877939">
      <w:bodyDiv w:val="1"/>
      <w:marLeft w:val="0"/>
      <w:marRight w:val="0"/>
      <w:marTop w:val="0"/>
      <w:marBottom w:val="0"/>
      <w:divBdr>
        <w:top w:val="none" w:sz="0" w:space="0" w:color="auto"/>
        <w:left w:val="none" w:sz="0" w:space="0" w:color="auto"/>
        <w:bottom w:val="none" w:sz="0" w:space="0" w:color="auto"/>
        <w:right w:val="none" w:sz="0" w:space="0" w:color="auto"/>
      </w:divBdr>
    </w:div>
    <w:div w:id="1327125111">
      <w:bodyDiv w:val="1"/>
      <w:marLeft w:val="0"/>
      <w:marRight w:val="0"/>
      <w:marTop w:val="0"/>
      <w:marBottom w:val="0"/>
      <w:divBdr>
        <w:top w:val="none" w:sz="0" w:space="0" w:color="auto"/>
        <w:left w:val="none" w:sz="0" w:space="0" w:color="auto"/>
        <w:bottom w:val="none" w:sz="0" w:space="0" w:color="auto"/>
        <w:right w:val="none" w:sz="0" w:space="0" w:color="auto"/>
      </w:divBdr>
    </w:div>
    <w:div w:id="1379743684">
      <w:bodyDiv w:val="1"/>
      <w:marLeft w:val="0"/>
      <w:marRight w:val="0"/>
      <w:marTop w:val="0"/>
      <w:marBottom w:val="0"/>
      <w:divBdr>
        <w:top w:val="none" w:sz="0" w:space="0" w:color="auto"/>
        <w:left w:val="none" w:sz="0" w:space="0" w:color="auto"/>
        <w:bottom w:val="none" w:sz="0" w:space="0" w:color="auto"/>
        <w:right w:val="none" w:sz="0" w:space="0" w:color="auto"/>
      </w:divBdr>
    </w:div>
    <w:div w:id="1649364002">
      <w:bodyDiv w:val="1"/>
      <w:marLeft w:val="0"/>
      <w:marRight w:val="0"/>
      <w:marTop w:val="0"/>
      <w:marBottom w:val="0"/>
      <w:divBdr>
        <w:top w:val="none" w:sz="0" w:space="0" w:color="auto"/>
        <w:left w:val="none" w:sz="0" w:space="0" w:color="auto"/>
        <w:bottom w:val="none" w:sz="0" w:space="0" w:color="auto"/>
        <w:right w:val="none" w:sz="0" w:space="0" w:color="auto"/>
      </w:divBdr>
    </w:div>
    <w:div w:id="1670599060">
      <w:bodyDiv w:val="1"/>
      <w:marLeft w:val="0"/>
      <w:marRight w:val="0"/>
      <w:marTop w:val="0"/>
      <w:marBottom w:val="0"/>
      <w:divBdr>
        <w:top w:val="none" w:sz="0" w:space="0" w:color="auto"/>
        <w:left w:val="none" w:sz="0" w:space="0" w:color="auto"/>
        <w:bottom w:val="none" w:sz="0" w:space="0" w:color="auto"/>
        <w:right w:val="none" w:sz="0" w:space="0" w:color="auto"/>
      </w:divBdr>
    </w:div>
    <w:div w:id="1794058218">
      <w:bodyDiv w:val="1"/>
      <w:marLeft w:val="0"/>
      <w:marRight w:val="0"/>
      <w:marTop w:val="0"/>
      <w:marBottom w:val="0"/>
      <w:divBdr>
        <w:top w:val="none" w:sz="0" w:space="0" w:color="auto"/>
        <w:left w:val="none" w:sz="0" w:space="0" w:color="auto"/>
        <w:bottom w:val="none" w:sz="0" w:space="0" w:color="auto"/>
        <w:right w:val="none" w:sz="0" w:space="0" w:color="auto"/>
      </w:divBdr>
    </w:div>
    <w:div w:id="1938828446">
      <w:bodyDiv w:val="1"/>
      <w:marLeft w:val="0"/>
      <w:marRight w:val="0"/>
      <w:marTop w:val="0"/>
      <w:marBottom w:val="0"/>
      <w:divBdr>
        <w:top w:val="none" w:sz="0" w:space="0" w:color="auto"/>
        <w:left w:val="none" w:sz="0" w:space="0" w:color="auto"/>
        <w:bottom w:val="none" w:sz="0" w:space="0" w:color="auto"/>
        <w:right w:val="none" w:sz="0" w:space="0" w:color="auto"/>
      </w:divBdr>
    </w:div>
    <w:div w:id="213748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977BA9E40C44BF8FF1AEA01B12916F"/>
        <w:category>
          <w:name w:val="General"/>
          <w:gallery w:val="placeholder"/>
        </w:category>
        <w:types>
          <w:type w:val="bbPlcHdr"/>
        </w:types>
        <w:behaviors>
          <w:behavior w:val="content"/>
        </w:behaviors>
        <w:guid w:val="{80273028-F792-48EC-A808-E322757E82EA}"/>
      </w:docPartPr>
      <w:docPartBody>
        <w:p w:rsidR="00AC3C40" w:rsidRDefault="00F70F8C" w:rsidP="00F70F8C">
          <w:pPr>
            <w:pStyle w:val="57977BA9E40C44BF8FF1AEA01B12916F"/>
          </w:pPr>
          <w:r w:rsidRPr="00D05635">
            <w:rPr>
              <w:rStyle w:val="PlaceholderText"/>
            </w:rPr>
            <w:t>Choose an item.</w:t>
          </w:r>
        </w:p>
      </w:docPartBody>
    </w:docPart>
    <w:docPart>
      <w:docPartPr>
        <w:name w:val="CB41592DB3EC4E3AA4F7F4D891F2FD8F"/>
        <w:category>
          <w:name w:val="General"/>
          <w:gallery w:val="placeholder"/>
        </w:category>
        <w:types>
          <w:type w:val="bbPlcHdr"/>
        </w:types>
        <w:behaviors>
          <w:behavior w:val="content"/>
        </w:behaviors>
        <w:guid w:val="{6F7F17AB-E7BE-44EC-BB83-FC75E166803F}"/>
      </w:docPartPr>
      <w:docPartBody>
        <w:p w:rsidR="00AC3C40" w:rsidRDefault="00F70F8C" w:rsidP="00F70F8C">
          <w:pPr>
            <w:pStyle w:val="CB41592DB3EC4E3AA4F7F4D891F2FD8F"/>
          </w:pPr>
          <w:r w:rsidRPr="00D0563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utura-Light">
    <w:altName w:val="Times New Roman"/>
    <w:charset w:val="00"/>
    <w:family w:val="auto"/>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F8C"/>
    <w:rsid w:val="00AC3C40"/>
    <w:rsid w:val="00D96987"/>
    <w:rsid w:val="00F70F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0F8C"/>
    <w:rPr>
      <w:color w:val="808080"/>
    </w:rPr>
  </w:style>
  <w:style w:type="paragraph" w:customStyle="1" w:styleId="57977BA9E40C44BF8FF1AEA01B12916F">
    <w:name w:val="57977BA9E40C44BF8FF1AEA01B12916F"/>
    <w:rsid w:val="00F70F8C"/>
  </w:style>
  <w:style w:type="paragraph" w:customStyle="1" w:styleId="CB41592DB3EC4E3AA4F7F4D891F2FD8F">
    <w:name w:val="CB41592DB3EC4E3AA4F7F4D891F2FD8F"/>
    <w:rsid w:val="00F70F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B9945F78AD8B49AEA2EE527984D820" ma:contentTypeVersion="13" ma:contentTypeDescription="Create a new document." ma:contentTypeScope="" ma:versionID="4f4b04da11940c2a49c0c869bc1f4678">
  <xsd:schema xmlns:xsd="http://www.w3.org/2001/XMLSchema" xmlns:xs="http://www.w3.org/2001/XMLSchema" xmlns:p="http://schemas.microsoft.com/office/2006/metadata/properties" xmlns:ns3="48338f3b-a3c6-45b9-a345-17f1c9b2b0cc" xmlns:ns4="6aba8f05-39b6-4ebe-8bc2-efbf6470edde" targetNamespace="http://schemas.microsoft.com/office/2006/metadata/properties" ma:root="true" ma:fieldsID="dd495b196cab74dda1c6eb1431e0e647" ns3:_="" ns4:_="">
    <xsd:import namespace="48338f3b-a3c6-45b9-a345-17f1c9b2b0cc"/>
    <xsd:import namespace="6aba8f05-39b6-4ebe-8bc2-efbf6470edd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38f3b-a3c6-45b9-a345-17f1c9b2b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ba8f05-39b6-4ebe-8bc2-efbf6470e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9BDC1-052A-4F22-BAD5-6DEBB88ECD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815079-B96A-41F6-96E9-8443C862A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38f3b-a3c6-45b9-a345-17f1c9b2b0cc"/>
    <ds:schemaRef ds:uri="6aba8f05-39b6-4ebe-8bc2-efbf6470e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982D99-4495-4246-BE5C-C41FACFE6069}">
  <ds:schemaRefs>
    <ds:schemaRef ds:uri="http://schemas.microsoft.com/sharepoint/v3/contenttype/forms"/>
  </ds:schemaRefs>
</ds:datastoreItem>
</file>

<file path=customXml/itemProps4.xml><?xml version="1.0" encoding="utf-8"?>
<ds:datastoreItem xmlns:ds="http://schemas.openxmlformats.org/officeDocument/2006/customXml" ds:itemID="{1423A627-1E07-4C49-AA33-E1378E3C1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2657</Words>
  <Characters>15174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Canberra Institute</vt:lpstr>
    </vt:vector>
  </TitlesOfParts>
  <Company>CIT</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Canberra Institute</dc:title>
  <dc:creator>Fox, Walsa</dc:creator>
  <cp:lastModifiedBy>Norris, Rikki</cp:lastModifiedBy>
  <cp:revision>25</cp:revision>
  <cp:lastPrinted>2016-03-15T03:50:00Z</cp:lastPrinted>
  <dcterms:created xsi:type="dcterms:W3CDTF">2020-07-14T23:40:00Z</dcterms:created>
  <dcterms:modified xsi:type="dcterms:W3CDTF">2020-08-04T03:53:00Z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0x0101004EB9945F78AD8B49AEA2EE527984D820</vt:lpwstr>
  </property>
</Properties>
</file>