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902" w:rsidRPr="00C26902" w:rsidRDefault="00350E4B" w:rsidP="00066BAB">
      <w:pPr>
        <w:pStyle w:val="Title"/>
      </w:pPr>
      <w:r w:rsidRPr="00C26902">
        <w:t>Resolving Staff Workplace Issues</w:t>
      </w:r>
    </w:p>
    <w:p w:rsidR="000C3D71" w:rsidRPr="00576B01" w:rsidRDefault="00145477" w:rsidP="00066BAB">
      <w:pPr>
        <w:pStyle w:val="Title"/>
        <w:rPr>
          <w:b w:val="0"/>
          <w:color w:val="auto"/>
          <w:sz w:val="22"/>
          <w:szCs w:val="22"/>
        </w:rPr>
      </w:pPr>
      <w:r w:rsidRPr="00576B01">
        <w:rPr>
          <w:b w:val="0"/>
        </w:rPr>
        <w:t>Procedures</w:t>
      </w:r>
      <w:r w:rsidR="00BB4166" w:rsidRPr="00576B01">
        <w:rPr>
          <w:b w:val="0"/>
        </w:rPr>
        <w:t xml:space="preserve"> </w:t>
      </w:r>
    </w:p>
    <w:p w:rsidR="00DE7271" w:rsidRPr="005F3F5B" w:rsidRDefault="00C26902" w:rsidP="00066BAB">
      <w:pPr>
        <w:pStyle w:val="Heading2"/>
        <w:rPr>
          <w:sz w:val="28"/>
          <w:szCs w:val="28"/>
        </w:rPr>
      </w:pPr>
      <w:bookmarkStart w:id="0" w:name="_Toc166406"/>
      <w:r w:rsidRPr="005F3F5B">
        <w:rPr>
          <w:sz w:val="28"/>
          <w:szCs w:val="28"/>
        </w:rPr>
        <w:t>Purpose</w:t>
      </w:r>
      <w:bookmarkEnd w:id="0"/>
    </w:p>
    <w:p w:rsidR="00C26902" w:rsidRDefault="005E509F" w:rsidP="00066BAB">
      <w:r>
        <w:t>T</w:t>
      </w:r>
      <w:r w:rsidR="00C26902" w:rsidRPr="001A5E82">
        <w:t xml:space="preserve">o provide CIT employees with guidance on </w:t>
      </w:r>
      <w:r w:rsidR="00C26902">
        <w:t>managing</w:t>
      </w:r>
      <w:r w:rsidR="00C26902" w:rsidRPr="001A5E82">
        <w:t xml:space="preserve"> issues that arise</w:t>
      </w:r>
      <w:r>
        <w:t>s</w:t>
      </w:r>
      <w:r w:rsidR="00C26902" w:rsidRPr="001A5E82">
        <w:t xml:space="preserve"> in the workplace between members of staff and to ensure that all workplace issues are managed in a fair, equitable and timely manner. </w:t>
      </w:r>
    </w:p>
    <w:p w:rsidR="00C26902" w:rsidRPr="00C26902" w:rsidRDefault="00C26902" w:rsidP="00066BAB">
      <w:r>
        <w:t xml:space="preserve">CIT </w:t>
      </w:r>
      <w:r w:rsidR="00B25072">
        <w:t xml:space="preserve">aims to eliminate </w:t>
      </w:r>
      <w:r>
        <w:t xml:space="preserve">discrimination, bullying and harassment in the workplace and encourages all staff to report conduct that is discriminatory, coercive, misleading, and/or threatening. </w:t>
      </w:r>
    </w:p>
    <w:p w:rsidR="00C26902" w:rsidRPr="005F3F5B" w:rsidRDefault="00C26902" w:rsidP="005F3F5B">
      <w:pPr>
        <w:pStyle w:val="Heading2"/>
        <w:ind w:left="357" w:hanging="357"/>
        <w:rPr>
          <w:sz w:val="28"/>
          <w:szCs w:val="28"/>
        </w:rPr>
      </w:pPr>
      <w:bookmarkStart w:id="1" w:name="_Toc166407"/>
      <w:r w:rsidRPr="005F3F5B">
        <w:rPr>
          <w:sz w:val="28"/>
          <w:szCs w:val="28"/>
        </w:rPr>
        <w:t>Scope</w:t>
      </w:r>
      <w:bookmarkEnd w:id="1"/>
    </w:p>
    <w:p w:rsidR="00C26902" w:rsidRDefault="00C26902" w:rsidP="00066BAB">
      <w:r>
        <w:t xml:space="preserve">These Procedures and the associated Policy </w:t>
      </w:r>
      <w:r w:rsidRPr="00027CB2">
        <w:t>appl</w:t>
      </w:r>
      <w:r w:rsidR="001427EE">
        <w:t>y</w:t>
      </w:r>
      <w:r w:rsidRPr="00027CB2">
        <w:t xml:space="preserve"> to all workplace issues identified </w:t>
      </w:r>
      <w:r>
        <w:t xml:space="preserve">by CIT employees. Issues raised by students or members of the community are managed in accordance with </w:t>
      </w:r>
      <w:hyperlink r:id="rId8" w:history="1">
        <w:r w:rsidRPr="005E509F">
          <w:rPr>
            <w:i/>
          </w:rPr>
          <w:t>Complaints – Student and Community</w:t>
        </w:r>
      </w:hyperlink>
      <w:r w:rsidR="008E1FCF" w:rsidRPr="005E509F">
        <w:rPr>
          <w:i/>
        </w:rPr>
        <w:t xml:space="preserve"> Member Policy</w:t>
      </w:r>
      <w:r w:rsidRPr="006D73B8">
        <w:t>.</w:t>
      </w:r>
      <w:r>
        <w:t xml:space="preserve"> </w:t>
      </w:r>
    </w:p>
    <w:p w:rsidR="00C26902" w:rsidRPr="005F3F5B" w:rsidRDefault="00C26902" w:rsidP="005F3F5B">
      <w:pPr>
        <w:pStyle w:val="Heading2"/>
        <w:ind w:left="357" w:hanging="357"/>
        <w:rPr>
          <w:sz w:val="28"/>
          <w:szCs w:val="28"/>
        </w:rPr>
      </w:pPr>
      <w:bookmarkStart w:id="2" w:name="_Toc166408"/>
      <w:r w:rsidRPr="005F3F5B">
        <w:rPr>
          <w:sz w:val="28"/>
          <w:szCs w:val="28"/>
        </w:rPr>
        <w:t>Policy</w:t>
      </w:r>
      <w:bookmarkEnd w:id="2"/>
    </w:p>
    <w:p w:rsidR="00C26902" w:rsidRDefault="005E509F" w:rsidP="00066BAB">
      <w:r w:rsidRPr="005E509F">
        <w:t>These Procedures</w:t>
      </w:r>
      <w:r w:rsidR="00C26902" w:rsidRPr="00C26902">
        <w:t xml:space="preserve"> have been developed in conjunction with </w:t>
      </w:r>
      <w:r w:rsidR="00C26902" w:rsidRPr="005E509F">
        <w:rPr>
          <w:i/>
        </w:rPr>
        <w:t>Resolving Staff Workplace Issues Policy</w:t>
      </w:r>
      <w:r w:rsidR="00C26902" w:rsidRPr="00C26902">
        <w:t>.</w:t>
      </w:r>
    </w:p>
    <w:p w:rsidR="00CF421A" w:rsidRPr="005F3F5B" w:rsidRDefault="00296854" w:rsidP="005F3F5B">
      <w:pPr>
        <w:pStyle w:val="Heading2"/>
        <w:ind w:left="357" w:hanging="357"/>
        <w:rPr>
          <w:sz w:val="28"/>
          <w:szCs w:val="28"/>
        </w:rPr>
      </w:pPr>
      <w:bookmarkStart w:id="3" w:name="_Toc166409"/>
      <w:r w:rsidRPr="005F3F5B">
        <w:rPr>
          <w:sz w:val="28"/>
          <w:szCs w:val="28"/>
        </w:rPr>
        <w:t>Contents</w:t>
      </w:r>
      <w:bookmarkEnd w:id="3"/>
    </w:p>
    <w:p w:rsidR="00350E4B" w:rsidRDefault="00350E4B" w:rsidP="00296854">
      <w:pPr>
        <w:spacing w:after="0"/>
      </w:pPr>
      <w:r w:rsidRPr="00027CB2">
        <w:t xml:space="preserve">This document </w:t>
      </w:r>
      <w:r>
        <w:t>includes the following sections:</w:t>
      </w:r>
    </w:p>
    <w:sdt>
      <w:sdtPr>
        <w:rPr>
          <w:sz w:val="10"/>
          <w:szCs w:val="10"/>
        </w:rPr>
        <w:id w:val="-1256819069"/>
        <w:docPartObj>
          <w:docPartGallery w:val="Table of Contents"/>
          <w:docPartUnique/>
        </w:docPartObj>
      </w:sdtPr>
      <w:sdtEndPr>
        <w:rPr>
          <w:b/>
          <w:bCs/>
          <w:noProof/>
          <w:sz w:val="22"/>
          <w:szCs w:val="22"/>
        </w:rPr>
      </w:sdtEndPr>
      <w:sdtContent>
        <w:p w:rsidR="00296854" w:rsidRPr="00296854" w:rsidRDefault="00296854" w:rsidP="00296854">
          <w:pPr>
            <w:spacing w:before="0" w:after="0"/>
            <w:rPr>
              <w:sz w:val="10"/>
              <w:szCs w:val="10"/>
            </w:rPr>
          </w:pPr>
        </w:p>
        <w:p w:rsidR="0001172E" w:rsidRDefault="00296854">
          <w:pPr>
            <w:pStyle w:val="TOC2"/>
            <w:rPr>
              <w:rFonts w:eastAsiaTheme="minorEastAsia" w:cstheme="minorBidi"/>
              <w:noProof/>
              <w:lang w:eastAsia="ja-JP"/>
            </w:rPr>
          </w:pPr>
          <w:r>
            <w:fldChar w:fldCharType="begin"/>
          </w:r>
          <w:r>
            <w:instrText xml:space="preserve"> TOC \o "1-3" \h \z \u </w:instrText>
          </w:r>
          <w:r>
            <w:fldChar w:fldCharType="separate"/>
          </w:r>
          <w:hyperlink w:anchor="_Toc166406" w:history="1">
            <w:r w:rsidR="0001172E" w:rsidRPr="006072AE">
              <w:rPr>
                <w:rStyle w:val="Hyperlink"/>
                <w:noProof/>
              </w:rPr>
              <w:t>1.</w:t>
            </w:r>
            <w:r w:rsidR="0001172E">
              <w:rPr>
                <w:rFonts w:eastAsiaTheme="minorEastAsia" w:cstheme="minorBidi"/>
                <w:noProof/>
                <w:lang w:eastAsia="ja-JP"/>
              </w:rPr>
              <w:tab/>
            </w:r>
            <w:r w:rsidR="0001172E" w:rsidRPr="006072AE">
              <w:rPr>
                <w:rStyle w:val="Hyperlink"/>
                <w:noProof/>
              </w:rPr>
              <w:t>Purpose</w:t>
            </w:r>
            <w:r w:rsidR="0001172E">
              <w:rPr>
                <w:noProof/>
                <w:webHidden/>
              </w:rPr>
              <w:tab/>
            </w:r>
            <w:r w:rsidR="0001172E">
              <w:rPr>
                <w:noProof/>
                <w:webHidden/>
              </w:rPr>
              <w:fldChar w:fldCharType="begin"/>
            </w:r>
            <w:r w:rsidR="0001172E">
              <w:rPr>
                <w:noProof/>
                <w:webHidden/>
              </w:rPr>
              <w:instrText xml:space="preserve"> PAGEREF _Toc166406 \h </w:instrText>
            </w:r>
            <w:r w:rsidR="0001172E">
              <w:rPr>
                <w:noProof/>
                <w:webHidden/>
              </w:rPr>
            </w:r>
            <w:r w:rsidR="0001172E">
              <w:rPr>
                <w:noProof/>
                <w:webHidden/>
              </w:rPr>
              <w:fldChar w:fldCharType="separate"/>
            </w:r>
            <w:r w:rsidR="0001172E">
              <w:rPr>
                <w:noProof/>
                <w:webHidden/>
              </w:rPr>
              <w:t>1</w:t>
            </w:r>
            <w:r w:rsidR="0001172E">
              <w:rPr>
                <w:noProof/>
                <w:webHidden/>
              </w:rPr>
              <w:fldChar w:fldCharType="end"/>
            </w:r>
          </w:hyperlink>
        </w:p>
        <w:p w:rsidR="0001172E" w:rsidRDefault="0001172E">
          <w:pPr>
            <w:pStyle w:val="TOC2"/>
            <w:rPr>
              <w:rFonts w:eastAsiaTheme="minorEastAsia" w:cstheme="minorBidi"/>
              <w:noProof/>
              <w:lang w:eastAsia="ja-JP"/>
            </w:rPr>
          </w:pPr>
          <w:hyperlink w:anchor="_Toc166407" w:history="1">
            <w:r w:rsidRPr="006072AE">
              <w:rPr>
                <w:rStyle w:val="Hyperlink"/>
                <w:noProof/>
              </w:rPr>
              <w:t>2.</w:t>
            </w:r>
            <w:r>
              <w:rPr>
                <w:rFonts w:eastAsiaTheme="minorEastAsia" w:cstheme="minorBidi"/>
                <w:noProof/>
                <w:lang w:eastAsia="ja-JP"/>
              </w:rPr>
              <w:tab/>
            </w:r>
            <w:r w:rsidRPr="006072AE">
              <w:rPr>
                <w:rStyle w:val="Hyperlink"/>
                <w:noProof/>
              </w:rPr>
              <w:t>Scope</w:t>
            </w:r>
            <w:r>
              <w:rPr>
                <w:noProof/>
                <w:webHidden/>
              </w:rPr>
              <w:tab/>
            </w:r>
            <w:r>
              <w:rPr>
                <w:noProof/>
                <w:webHidden/>
              </w:rPr>
              <w:fldChar w:fldCharType="begin"/>
            </w:r>
            <w:r>
              <w:rPr>
                <w:noProof/>
                <w:webHidden/>
              </w:rPr>
              <w:instrText xml:space="preserve"> PAGEREF _Toc166407 \h </w:instrText>
            </w:r>
            <w:r>
              <w:rPr>
                <w:noProof/>
                <w:webHidden/>
              </w:rPr>
            </w:r>
            <w:r>
              <w:rPr>
                <w:noProof/>
                <w:webHidden/>
              </w:rPr>
              <w:fldChar w:fldCharType="separate"/>
            </w:r>
            <w:r>
              <w:rPr>
                <w:noProof/>
                <w:webHidden/>
              </w:rPr>
              <w:t>1</w:t>
            </w:r>
            <w:r>
              <w:rPr>
                <w:noProof/>
                <w:webHidden/>
              </w:rPr>
              <w:fldChar w:fldCharType="end"/>
            </w:r>
          </w:hyperlink>
        </w:p>
        <w:p w:rsidR="0001172E" w:rsidRDefault="0001172E">
          <w:pPr>
            <w:pStyle w:val="TOC2"/>
            <w:rPr>
              <w:rFonts w:eastAsiaTheme="minorEastAsia" w:cstheme="minorBidi"/>
              <w:noProof/>
              <w:lang w:eastAsia="ja-JP"/>
            </w:rPr>
          </w:pPr>
          <w:hyperlink w:anchor="_Toc166408" w:history="1">
            <w:r w:rsidRPr="006072AE">
              <w:rPr>
                <w:rStyle w:val="Hyperlink"/>
                <w:noProof/>
              </w:rPr>
              <w:t>3.</w:t>
            </w:r>
            <w:r>
              <w:rPr>
                <w:rFonts w:eastAsiaTheme="minorEastAsia" w:cstheme="minorBidi"/>
                <w:noProof/>
                <w:lang w:eastAsia="ja-JP"/>
              </w:rPr>
              <w:tab/>
            </w:r>
            <w:r w:rsidRPr="006072AE">
              <w:rPr>
                <w:rStyle w:val="Hyperlink"/>
                <w:noProof/>
              </w:rPr>
              <w:t>Policy</w:t>
            </w:r>
            <w:r>
              <w:rPr>
                <w:noProof/>
                <w:webHidden/>
              </w:rPr>
              <w:tab/>
            </w:r>
            <w:r>
              <w:rPr>
                <w:noProof/>
                <w:webHidden/>
              </w:rPr>
              <w:fldChar w:fldCharType="begin"/>
            </w:r>
            <w:r>
              <w:rPr>
                <w:noProof/>
                <w:webHidden/>
              </w:rPr>
              <w:instrText xml:space="preserve"> PAGEREF _Toc166408 \h </w:instrText>
            </w:r>
            <w:r>
              <w:rPr>
                <w:noProof/>
                <w:webHidden/>
              </w:rPr>
            </w:r>
            <w:r>
              <w:rPr>
                <w:noProof/>
                <w:webHidden/>
              </w:rPr>
              <w:fldChar w:fldCharType="separate"/>
            </w:r>
            <w:r>
              <w:rPr>
                <w:noProof/>
                <w:webHidden/>
              </w:rPr>
              <w:t>1</w:t>
            </w:r>
            <w:r>
              <w:rPr>
                <w:noProof/>
                <w:webHidden/>
              </w:rPr>
              <w:fldChar w:fldCharType="end"/>
            </w:r>
          </w:hyperlink>
        </w:p>
        <w:p w:rsidR="0001172E" w:rsidRDefault="0001172E">
          <w:pPr>
            <w:pStyle w:val="TOC2"/>
            <w:rPr>
              <w:rFonts w:eastAsiaTheme="minorEastAsia" w:cstheme="minorBidi"/>
              <w:noProof/>
              <w:lang w:eastAsia="ja-JP"/>
            </w:rPr>
          </w:pPr>
          <w:hyperlink w:anchor="_Toc166409" w:history="1">
            <w:r w:rsidRPr="006072AE">
              <w:rPr>
                <w:rStyle w:val="Hyperlink"/>
                <w:noProof/>
              </w:rPr>
              <w:t>4.</w:t>
            </w:r>
            <w:r>
              <w:rPr>
                <w:rFonts w:eastAsiaTheme="minorEastAsia" w:cstheme="minorBidi"/>
                <w:noProof/>
                <w:lang w:eastAsia="ja-JP"/>
              </w:rPr>
              <w:tab/>
            </w:r>
            <w:r w:rsidRPr="006072AE">
              <w:rPr>
                <w:rStyle w:val="Hyperlink"/>
                <w:noProof/>
              </w:rPr>
              <w:t>Contents</w:t>
            </w:r>
            <w:r>
              <w:rPr>
                <w:noProof/>
                <w:webHidden/>
              </w:rPr>
              <w:tab/>
            </w:r>
            <w:r>
              <w:rPr>
                <w:noProof/>
                <w:webHidden/>
              </w:rPr>
              <w:fldChar w:fldCharType="begin"/>
            </w:r>
            <w:r>
              <w:rPr>
                <w:noProof/>
                <w:webHidden/>
              </w:rPr>
              <w:instrText xml:space="preserve"> PAGEREF _Toc166409 \h </w:instrText>
            </w:r>
            <w:r>
              <w:rPr>
                <w:noProof/>
                <w:webHidden/>
              </w:rPr>
            </w:r>
            <w:r>
              <w:rPr>
                <w:noProof/>
                <w:webHidden/>
              </w:rPr>
              <w:fldChar w:fldCharType="separate"/>
            </w:r>
            <w:r>
              <w:rPr>
                <w:noProof/>
                <w:webHidden/>
              </w:rPr>
              <w:t>1</w:t>
            </w:r>
            <w:r>
              <w:rPr>
                <w:noProof/>
                <w:webHidden/>
              </w:rPr>
              <w:fldChar w:fldCharType="end"/>
            </w:r>
          </w:hyperlink>
        </w:p>
        <w:p w:rsidR="0001172E" w:rsidRDefault="0001172E">
          <w:pPr>
            <w:pStyle w:val="TOC2"/>
            <w:rPr>
              <w:rFonts w:eastAsiaTheme="minorEastAsia" w:cstheme="minorBidi"/>
              <w:noProof/>
              <w:lang w:eastAsia="ja-JP"/>
            </w:rPr>
          </w:pPr>
          <w:hyperlink w:anchor="_Toc166410" w:history="1">
            <w:r w:rsidRPr="006072AE">
              <w:rPr>
                <w:rStyle w:val="Hyperlink"/>
                <w:noProof/>
              </w:rPr>
              <w:t>5.</w:t>
            </w:r>
            <w:r>
              <w:rPr>
                <w:rFonts w:eastAsiaTheme="minorEastAsia" w:cstheme="minorBidi"/>
                <w:noProof/>
                <w:lang w:eastAsia="ja-JP"/>
              </w:rPr>
              <w:tab/>
            </w:r>
            <w:r w:rsidRPr="006072AE">
              <w:rPr>
                <w:rStyle w:val="Hyperlink"/>
                <w:noProof/>
              </w:rPr>
              <w:t>Procedure for raising workplace issues</w:t>
            </w:r>
            <w:r>
              <w:rPr>
                <w:noProof/>
                <w:webHidden/>
              </w:rPr>
              <w:tab/>
            </w:r>
            <w:r>
              <w:rPr>
                <w:noProof/>
                <w:webHidden/>
              </w:rPr>
              <w:fldChar w:fldCharType="begin"/>
            </w:r>
            <w:r>
              <w:rPr>
                <w:noProof/>
                <w:webHidden/>
              </w:rPr>
              <w:instrText xml:space="preserve"> PAGEREF _Toc166410 \h </w:instrText>
            </w:r>
            <w:r>
              <w:rPr>
                <w:noProof/>
                <w:webHidden/>
              </w:rPr>
            </w:r>
            <w:r>
              <w:rPr>
                <w:noProof/>
                <w:webHidden/>
              </w:rPr>
              <w:fldChar w:fldCharType="separate"/>
            </w:r>
            <w:r>
              <w:rPr>
                <w:noProof/>
                <w:webHidden/>
              </w:rPr>
              <w:t>2</w:t>
            </w:r>
            <w:r>
              <w:rPr>
                <w:noProof/>
                <w:webHidden/>
              </w:rPr>
              <w:fldChar w:fldCharType="end"/>
            </w:r>
          </w:hyperlink>
        </w:p>
        <w:p w:rsidR="0001172E" w:rsidRDefault="0001172E">
          <w:pPr>
            <w:pStyle w:val="TOC2"/>
            <w:rPr>
              <w:rFonts w:eastAsiaTheme="minorEastAsia" w:cstheme="minorBidi"/>
              <w:noProof/>
              <w:lang w:eastAsia="ja-JP"/>
            </w:rPr>
          </w:pPr>
          <w:hyperlink w:anchor="_Toc166411" w:history="1">
            <w:r w:rsidRPr="006072AE">
              <w:rPr>
                <w:rStyle w:val="Hyperlink"/>
                <w:noProof/>
              </w:rPr>
              <w:t>6.</w:t>
            </w:r>
            <w:r>
              <w:rPr>
                <w:rFonts w:eastAsiaTheme="minorEastAsia" w:cstheme="minorBidi"/>
                <w:noProof/>
                <w:lang w:eastAsia="ja-JP"/>
              </w:rPr>
              <w:tab/>
            </w:r>
            <w:r w:rsidRPr="006072AE">
              <w:rPr>
                <w:rStyle w:val="Hyperlink"/>
                <w:noProof/>
              </w:rPr>
              <w:t>Procedure for responding to workplace issues</w:t>
            </w:r>
            <w:r>
              <w:rPr>
                <w:noProof/>
                <w:webHidden/>
              </w:rPr>
              <w:tab/>
            </w:r>
            <w:r>
              <w:rPr>
                <w:noProof/>
                <w:webHidden/>
              </w:rPr>
              <w:fldChar w:fldCharType="begin"/>
            </w:r>
            <w:r>
              <w:rPr>
                <w:noProof/>
                <w:webHidden/>
              </w:rPr>
              <w:instrText xml:space="preserve"> PAGEREF _Toc166411 \h </w:instrText>
            </w:r>
            <w:r>
              <w:rPr>
                <w:noProof/>
                <w:webHidden/>
              </w:rPr>
            </w:r>
            <w:r>
              <w:rPr>
                <w:noProof/>
                <w:webHidden/>
              </w:rPr>
              <w:fldChar w:fldCharType="separate"/>
            </w:r>
            <w:r>
              <w:rPr>
                <w:noProof/>
                <w:webHidden/>
              </w:rPr>
              <w:t>2</w:t>
            </w:r>
            <w:r>
              <w:rPr>
                <w:noProof/>
                <w:webHidden/>
              </w:rPr>
              <w:fldChar w:fldCharType="end"/>
            </w:r>
          </w:hyperlink>
        </w:p>
        <w:p w:rsidR="0001172E" w:rsidRDefault="0001172E">
          <w:pPr>
            <w:pStyle w:val="TOC2"/>
            <w:rPr>
              <w:rFonts w:eastAsiaTheme="minorEastAsia" w:cstheme="minorBidi"/>
              <w:noProof/>
              <w:lang w:eastAsia="ja-JP"/>
            </w:rPr>
          </w:pPr>
          <w:hyperlink w:anchor="_Toc166412" w:history="1">
            <w:r w:rsidRPr="006072AE">
              <w:rPr>
                <w:rStyle w:val="Hyperlink"/>
                <w:noProof/>
              </w:rPr>
              <w:t>Table 1 – Risk Assessment</w:t>
            </w:r>
            <w:r>
              <w:rPr>
                <w:noProof/>
                <w:webHidden/>
              </w:rPr>
              <w:tab/>
            </w:r>
            <w:r>
              <w:rPr>
                <w:noProof/>
                <w:webHidden/>
              </w:rPr>
              <w:fldChar w:fldCharType="begin"/>
            </w:r>
            <w:r>
              <w:rPr>
                <w:noProof/>
                <w:webHidden/>
              </w:rPr>
              <w:instrText xml:space="preserve"> PAGEREF _Toc166412 \h </w:instrText>
            </w:r>
            <w:r>
              <w:rPr>
                <w:noProof/>
                <w:webHidden/>
              </w:rPr>
            </w:r>
            <w:r>
              <w:rPr>
                <w:noProof/>
                <w:webHidden/>
              </w:rPr>
              <w:fldChar w:fldCharType="separate"/>
            </w:r>
            <w:r>
              <w:rPr>
                <w:noProof/>
                <w:webHidden/>
              </w:rPr>
              <w:t>3</w:t>
            </w:r>
            <w:r>
              <w:rPr>
                <w:noProof/>
                <w:webHidden/>
              </w:rPr>
              <w:fldChar w:fldCharType="end"/>
            </w:r>
          </w:hyperlink>
        </w:p>
        <w:p w:rsidR="0001172E" w:rsidRDefault="0001172E">
          <w:pPr>
            <w:pStyle w:val="TOC2"/>
            <w:rPr>
              <w:rFonts w:eastAsiaTheme="minorEastAsia" w:cstheme="minorBidi"/>
              <w:noProof/>
              <w:lang w:eastAsia="ja-JP"/>
            </w:rPr>
          </w:pPr>
          <w:hyperlink w:anchor="_Toc166413" w:history="1">
            <w:r w:rsidRPr="006072AE">
              <w:rPr>
                <w:rStyle w:val="Hyperlink"/>
                <w:noProof/>
              </w:rPr>
              <w:t>7.</w:t>
            </w:r>
            <w:r>
              <w:rPr>
                <w:rFonts w:eastAsiaTheme="minorEastAsia" w:cstheme="minorBidi"/>
                <w:noProof/>
                <w:lang w:eastAsia="ja-JP"/>
              </w:rPr>
              <w:tab/>
            </w:r>
            <w:r w:rsidRPr="006072AE">
              <w:rPr>
                <w:rStyle w:val="Hyperlink"/>
                <w:noProof/>
              </w:rPr>
              <w:t>Preliminary Assessment</w:t>
            </w:r>
            <w:r>
              <w:rPr>
                <w:noProof/>
                <w:webHidden/>
              </w:rPr>
              <w:tab/>
            </w:r>
            <w:r>
              <w:rPr>
                <w:noProof/>
                <w:webHidden/>
              </w:rPr>
              <w:fldChar w:fldCharType="begin"/>
            </w:r>
            <w:r>
              <w:rPr>
                <w:noProof/>
                <w:webHidden/>
              </w:rPr>
              <w:instrText xml:space="preserve"> PAGEREF _Toc166413 \h </w:instrText>
            </w:r>
            <w:r>
              <w:rPr>
                <w:noProof/>
                <w:webHidden/>
              </w:rPr>
            </w:r>
            <w:r>
              <w:rPr>
                <w:noProof/>
                <w:webHidden/>
              </w:rPr>
              <w:fldChar w:fldCharType="separate"/>
            </w:r>
            <w:r>
              <w:rPr>
                <w:noProof/>
                <w:webHidden/>
              </w:rPr>
              <w:t>3</w:t>
            </w:r>
            <w:r>
              <w:rPr>
                <w:noProof/>
                <w:webHidden/>
              </w:rPr>
              <w:fldChar w:fldCharType="end"/>
            </w:r>
          </w:hyperlink>
        </w:p>
        <w:p w:rsidR="0001172E" w:rsidRDefault="0001172E">
          <w:pPr>
            <w:pStyle w:val="TOC2"/>
            <w:rPr>
              <w:rFonts w:eastAsiaTheme="minorEastAsia" w:cstheme="minorBidi"/>
              <w:noProof/>
              <w:lang w:eastAsia="ja-JP"/>
            </w:rPr>
          </w:pPr>
          <w:hyperlink w:anchor="_Toc166414" w:history="1">
            <w:r w:rsidRPr="006072AE">
              <w:rPr>
                <w:rStyle w:val="Hyperlink"/>
                <w:noProof/>
              </w:rPr>
              <w:t>8.</w:t>
            </w:r>
            <w:r>
              <w:rPr>
                <w:rFonts w:eastAsiaTheme="minorEastAsia" w:cstheme="minorBidi"/>
                <w:noProof/>
                <w:lang w:eastAsia="ja-JP"/>
              </w:rPr>
              <w:tab/>
            </w:r>
            <w:r w:rsidRPr="006072AE">
              <w:rPr>
                <w:rStyle w:val="Hyperlink"/>
                <w:noProof/>
              </w:rPr>
              <w:t>Escalation of Workplace Issues</w:t>
            </w:r>
            <w:r>
              <w:rPr>
                <w:noProof/>
                <w:webHidden/>
              </w:rPr>
              <w:tab/>
            </w:r>
            <w:r>
              <w:rPr>
                <w:noProof/>
                <w:webHidden/>
              </w:rPr>
              <w:fldChar w:fldCharType="begin"/>
            </w:r>
            <w:r>
              <w:rPr>
                <w:noProof/>
                <w:webHidden/>
              </w:rPr>
              <w:instrText xml:space="preserve"> PAGEREF _Toc166414 \h </w:instrText>
            </w:r>
            <w:r>
              <w:rPr>
                <w:noProof/>
                <w:webHidden/>
              </w:rPr>
            </w:r>
            <w:r>
              <w:rPr>
                <w:noProof/>
                <w:webHidden/>
              </w:rPr>
              <w:fldChar w:fldCharType="separate"/>
            </w:r>
            <w:r>
              <w:rPr>
                <w:noProof/>
                <w:webHidden/>
              </w:rPr>
              <w:t>4</w:t>
            </w:r>
            <w:r>
              <w:rPr>
                <w:noProof/>
                <w:webHidden/>
              </w:rPr>
              <w:fldChar w:fldCharType="end"/>
            </w:r>
          </w:hyperlink>
        </w:p>
        <w:p w:rsidR="0001172E" w:rsidRDefault="0001172E">
          <w:pPr>
            <w:pStyle w:val="TOC2"/>
            <w:rPr>
              <w:rFonts w:eastAsiaTheme="minorEastAsia" w:cstheme="minorBidi"/>
              <w:noProof/>
              <w:lang w:eastAsia="ja-JP"/>
            </w:rPr>
          </w:pPr>
          <w:hyperlink w:anchor="_Toc166415" w:history="1">
            <w:r w:rsidRPr="006072AE">
              <w:rPr>
                <w:rStyle w:val="Hyperlink"/>
                <w:noProof/>
              </w:rPr>
              <w:t>9.</w:t>
            </w:r>
            <w:r>
              <w:rPr>
                <w:rFonts w:eastAsiaTheme="minorEastAsia" w:cstheme="minorBidi"/>
                <w:noProof/>
                <w:lang w:eastAsia="ja-JP"/>
              </w:rPr>
              <w:tab/>
            </w:r>
            <w:r w:rsidRPr="006072AE">
              <w:rPr>
                <w:rStyle w:val="Hyperlink"/>
                <w:noProof/>
              </w:rPr>
              <w:t>Appeal</w:t>
            </w:r>
            <w:r>
              <w:rPr>
                <w:noProof/>
                <w:webHidden/>
              </w:rPr>
              <w:tab/>
            </w:r>
            <w:r>
              <w:rPr>
                <w:noProof/>
                <w:webHidden/>
              </w:rPr>
              <w:fldChar w:fldCharType="begin"/>
            </w:r>
            <w:r>
              <w:rPr>
                <w:noProof/>
                <w:webHidden/>
              </w:rPr>
              <w:instrText xml:space="preserve"> PAGEREF _Toc166415 \h </w:instrText>
            </w:r>
            <w:r>
              <w:rPr>
                <w:noProof/>
                <w:webHidden/>
              </w:rPr>
            </w:r>
            <w:r>
              <w:rPr>
                <w:noProof/>
                <w:webHidden/>
              </w:rPr>
              <w:fldChar w:fldCharType="separate"/>
            </w:r>
            <w:r>
              <w:rPr>
                <w:noProof/>
                <w:webHidden/>
              </w:rPr>
              <w:t>5</w:t>
            </w:r>
            <w:r>
              <w:rPr>
                <w:noProof/>
                <w:webHidden/>
              </w:rPr>
              <w:fldChar w:fldCharType="end"/>
            </w:r>
          </w:hyperlink>
        </w:p>
        <w:p w:rsidR="0001172E" w:rsidRDefault="0001172E">
          <w:pPr>
            <w:pStyle w:val="TOC2"/>
            <w:rPr>
              <w:rFonts w:eastAsiaTheme="minorEastAsia" w:cstheme="minorBidi"/>
              <w:noProof/>
              <w:lang w:eastAsia="ja-JP"/>
            </w:rPr>
          </w:pPr>
          <w:hyperlink w:anchor="_Toc166416" w:history="1">
            <w:r w:rsidRPr="006072AE">
              <w:rPr>
                <w:rStyle w:val="Hyperlink"/>
                <w:noProof/>
              </w:rPr>
              <w:t>10.</w:t>
            </w:r>
            <w:r>
              <w:rPr>
                <w:rFonts w:eastAsiaTheme="minorEastAsia" w:cstheme="minorBidi"/>
                <w:noProof/>
                <w:lang w:eastAsia="ja-JP"/>
              </w:rPr>
              <w:tab/>
            </w:r>
            <w:r w:rsidRPr="006072AE">
              <w:rPr>
                <w:rStyle w:val="Hyperlink"/>
                <w:noProof/>
              </w:rPr>
              <w:t>Timeframe for workplace issue management</w:t>
            </w:r>
            <w:r>
              <w:rPr>
                <w:noProof/>
                <w:webHidden/>
              </w:rPr>
              <w:tab/>
            </w:r>
            <w:r>
              <w:rPr>
                <w:noProof/>
                <w:webHidden/>
              </w:rPr>
              <w:fldChar w:fldCharType="begin"/>
            </w:r>
            <w:r>
              <w:rPr>
                <w:noProof/>
                <w:webHidden/>
              </w:rPr>
              <w:instrText xml:space="preserve"> PAGEREF _Toc166416 \h </w:instrText>
            </w:r>
            <w:r>
              <w:rPr>
                <w:noProof/>
                <w:webHidden/>
              </w:rPr>
            </w:r>
            <w:r>
              <w:rPr>
                <w:noProof/>
                <w:webHidden/>
              </w:rPr>
              <w:fldChar w:fldCharType="separate"/>
            </w:r>
            <w:r>
              <w:rPr>
                <w:noProof/>
                <w:webHidden/>
              </w:rPr>
              <w:t>5</w:t>
            </w:r>
            <w:r>
              <w:rPr>
                <w:noProof/>
                <w:webHidden/>
              </w:rPr>
              <w:fldChar w:fldCharType="end"/>
            </w:r>
          </w:hyperlink>
        </w:p>
        <w:p w:rsidR="0001172E" w:rsidRDefault="0001172E">
          <w:pPr>
            <w:pStyle w:val="TOC2"/>
            <w:rPr>
              <w:rFonts w:eastAsiaTheme="minorEastAsia" w:cstheme="minorBidi"/>
              <w:noProof/>
              <w:lang w:eastAsia="ja-JP"/>
            </w:rPr>
          </w:pPr>
          <w:hyperlink w:anchor="_Toc166417" w:history="1">
            <w:r w:rsidRPr="006072AE">
              <w:rPr>
                <w:rStyle w:val="Hyperlink"/>
                <w:noProof/>
              </w:rPr>
              <w:t>11.</w:t>
            </w:r>
            <w:r>
              <w:rPr>
                <w:rFonts w:eastAsiaTheme="minorEastAsia" w:cstheme="minorBidi"/>
                <w:noProof/>
                <w:lang w:eastAsia="ja-JP"/>
              </w:rPr>
              <w:tab/>
            </w:r>
            <w:r w:rsidRPr="006072AE">
              <w:rPr>
                <w:rStyle w:val="Hyperlink"/>
                <w:noProof/>
              </w:rPr>
              <w:t>Record keeping</w:t>
            </w:r>
            <w:r>
              <w:rPr>
                <w:noProof/>
                <w:webHidden/>
              </w:rPr>
              <w:tab/>
            </w:r>
            <w:r>
              <w:rPr>
                <w:noProof/>
                <w:webHidden/>
              </w:rPr>
              <w:fldChar w:fldCharType="begin"/>
            </w:r>
            <w:r>
              <w:rPr>
                <w:noProof/>
                <w:webHidden/>
              </w:rPr>
              <w:instrText xml:space="preserve"> PAGEREF _Toc166417 \h </w:instrText>
            </w:r>
            <w:r>
              <w:rPr>
                <w:noProof/>
                <w:webHidden/>
              </w:rPr>
            </w:r>
            <w:r>
              <w:rPr>
                <w:noProof/>
                <w:webHidden/>
              </w:rPr>
              <w:fldChar w:fldCharType="separate"/>
            </w:r>
            <w:r>
              <w:rPr>
                <w:noProof/>
                <w:webHidden/>
              </w:rPr>
              <w:t>5</w:t>
            </w:r>
            <w:r>
              <w:rPr>
                <w:noProof/>
                <w:webHidden/>
              </w:rPr>
              <w:fldChar w:fldCharType="end"/>
            </w:r>
          </w:hyperlink>
        </w:p>
        <w:p w:rsidR="0001172E" w:rsidRDefault="0001172E">
          <w:pPr>
            <w:pStyle w:val="TOC2"/>
            <w:rPr>
              <w:rFonts w:eastAsiaTheme="minorEastAsia" w:cstheme="minorBidi"/>
              <w:noProof/>
              <w:lang w:eastAsia="ja-JP"/>
            </w:rPr>
          </w:pPr>
          <w:hyperlink w:anchor="_Toc166418" w:history="1">
            <w:r w:rsidRPr="006072AE">
              <w:rPr>
                <w:rStyle w:val="Hyperlink"/>
                <w:noProof/>
              </w:rPr>
              <w:t>12.</w:t>
            </w:r>
            <w:r>
              <w:rPr>
                <w:rFonts w:eastAsiaTheme="minorEastAsia" w:cstheme="minorBidi"/>
                <w:noProof/>
                <w:lang w:eastAsia="ja-JP"/>
              </w:rPr>
              <w:tab/>
            </w:r>
            <w:r w:rsidRPr="006072AE">
              <w:rPr>
                <w:rStyle w:val="Hyperlink"/>
                <w:noProof/>
              </w:rPr>
              <w:t>Finalisation of workplace issue</w:t>
            </w:r>
            <w:r>
              <w:rPr>
                <w:noProof/>
                <w:webHidden/>
              </w:rPr>
              <w:tab/>
            </w:r>
            <w:r>
              <w:rPr>
                <w:noProof/>
                <w:webHidden/>
              </w:rPr>
              <w:fldChar w:fldCharType="begin"/>
            </w:r>
            <w:r>
              <w:rPr>
                <w:noProof/>
                <w:webHidden/>
              </w:rPr>
              <w:instrText xml:space="preserve"> PAGEREF _Toc166418 \h </w:instrText>
            </w:r>
            <w:r>
              <w:rPr>
                <w:noProof/>
                <w:webHidden/>
              </w:rPr>
            </w:r>
            <w:r>
              <w:rPr>
                <w:noProof/>
                <w:webHidden/>
              </w:rPr>
              <w:fldChar w:fldCharType="separate"/>
            </w:r>
            <w:r>
              <w:rPr>
                <w:noProof/>
                <w:webHidden/>
              </w:rPr>
              <w:t>6</w:t>
            </w:r>
            <w:r>
              <w:rPr>
                <w:noProof/>
                <w:webHidden/>
              </w:rPr>
              <w:fldChar w:fldCharType="end"/>
            </w:r>
          </w:hyperlink>
        </w:p>
        <w:p w:rsidR="0001172E" w:rsidRDefault="0001172E">
          <w:pPr>
            <w:pStyle w:val="TOC2"/>
            <w:rPr>
              <w:rFonts w:eastAsiaTheme="minorEastAsia" w:cstheme="minorBidi"/>
              <w:noProof/>
              <w:lang w:eastAsia="ja-JP"/>
            </w:rPr>
          </w:pPr>
          <w:hyperlink w:anchor="_Toc166419" w:history="1">
            <w:r w:rsidRPr="006072AE">
              <w:rPr>
                <w:rStyle w:val="Hyperlink"/>
                <w:noProof/>
              </w:rPr>
              <w:t>Table 2 - Responsibilities of all parties</w:t>
            </w:r>
            <w:r>
              <w:rPr>
                <w:noProof/>
                <w:webHidden/>
              </w:rPr>
              <w:tab/>
            </w:r>
            <w:r>
              <w:rPr>
                <w:noProof/>
                <w:webHidden/>
              </w:rPr>
              <w:fldChar w:fldCharType="begin"/>
            </w:r>
            <w:r>
              <w:rPr>
                <w:noProof/>
                <w:webHidden/>
              </w:rPr>
              <w:instrText xml:space="preserve"> PAGEREF _Toc166419 \h </w:instrText>
            </w:r>
            <w:r>
              <w:rPr>
                <w:noProof/>
                <w:webHidden/>
              </w:rPr>
            </w:r>
            <w:r>
              <w:rPr>
                <w:noProof/>
                <w:webHidden/>
              </w:rPr>
              <w:fldChar w:fldCharType="separate"/>
            </w:r>
            <w:r>
              <w:rPr>
                <w:noProof/>
                <w:webHidden/>
              </w:rPr>
              <w:t>7</w:t>
            </w:r>
            <w:r>
              <w:rPr>
                <w:noProof/>
                <w:webHidden/>
              </w:rPr>
              <w:fldChar w:fldCharType="end"/>
            </w:r>
          </w:hyperlink>
        </w:p>
        <w:p w:rsidR="0001172E" w:rsidRDefault="0001172E">
          <w:pPr>
            <w:pStyle w:val="TOC2"/>
            <w:rPr>
              <w:rFonts w:eastAsiaTheme="minorEastAsia" w:cstheme="minorBidi"/>
              <w:noProof/>
              <w:lang w:eastAsia="ja-JP"/>
            </w:rPr>
          </w:pPr>
          <w:hyperlink w:anchor="_Toc166420" w:history="1">
            <w:r w:rsidRPr="006072AE">
              <w:rPr>
                <w:rStyle w:val="Hyperlink"/>
                <w:noProof/>
              </w:rPr>
              <w:t>Table 3 - Support available to all individuals involved in workplace issues</w:t>
            </w:r>
            <w:r>
              <w:rPr>
                <w:noProof/>
                <w:webHidden/>
              </w:rPr>
              <w:tab/>
            </w:r>
            <w:r>
              <w:rPr>
                <w:noProof/>
                <w:webHidden/>
              </w:rPr>
              <w:fldChar w:fldCharType="begin"/>
            </w:r>
            <w:r>
              <w:rPr>
                <w:noProof/>
                <w:webHidden/>
              </w:rPr>
              <w:instrText xml:space="preserve"> PAGEREF _Toc166420 \h </w:instrText>
            </w:r>
            <w:r>
              <w:rPr>
                <w:noProof/>
                <w:webHidden/>
              </w:rPr>
            </w:r>
            <w:r>
              <w:rPr>
                <w:noProof/>
                <w:webHidden/>
              </w:rPr>
              <w:fldChar w:fldCharType="separate"/>
            </w:r>
            <w:r>
              <w:rPr>
                <w:noProof/>
                <w:webHidden/>
              </w:rPr>
              <w:t>9</w:t>
            </w:r>
            <w:r>
              <w:rPr>
                <w:noProof/>
                <w:webHidden/>
              </w:rPr>
              <w:fldChar w:fldCharType="end"/>
            </w:r>
          </w:hyperlink>
        </w:p>
        <w:p w:rsidR="0001172E" w:rsidRDefault="0001172E">
          <w:pPr>
            <w:pStyle w:val="TOC2"/>
            <w:rPr>
              <w:rFonts w:eastAsiaTheme="minorEastAsia" w:cstheme="minorBidi"/>
              <w:noProof/>
              <w:lang w:eastAsia="ja-JP"/>
            </w:rPr>
          </w:pPr>
          <w:hyperlink w:anchor="_Toc166421" w:history="1">
            <w:r w:rsidRPr="006072AE">
              <w:rPr>
                <w:rStyle w:val="Hyperlink"/>
                <w:noProof/>
              </w:rPr>
              <w:t>Table 4 - Definitions relating to policy and procedure</w:t>
            </w:r>
            <w:r>
              <w:rPr>
                <w:noProof/>
                <w:webHidden/>
              </w:rPr>
              <w:tab/>
            </w:r>
            <w:r>
              <w:rPr>
                <w:noProof/>
                <w:webHidden/>
              </w:rPr>
              <w:fldChar w:fldCharType="begin"/>
            </w:r>
            <w:r>
              <w:rPr>
                <w:noProof/>
                <w:webHidden/>
              </w:rPr>
              <w:instrText xml:space="preserve"> PAGEREF _Toc166421 \h </w:instrText>
            </w:r>
            <w:r>
              <w:rPr>
                <w:noProof/>
                <w:webHidden/>
              </w:rPr>
            </w:r>
            <w:r>
              <w:rPr>
                <w:noProof/>
                <w:webHidden/>
              </w:rPr>
              <w:fldChar w:fldCharType="separate"/>
            </w:r>
            <w:r>
              <w:rPr>
                <w:noProof/>
                <w:webHidden/>
              </w:rPr>
              <w:t>10</w:t>
            </w:r>
            <w:r>
              <w:rPr>
                <w:noProof/>
                <w:webHidden/>
              </w:rPr>
              <w:fldChar w:fldCharType="end"/>
            </w:r>
          </w:hyperlink>
        </w:p>
        <w:p w:rsidR="00296854" w:rsidRDefault="00296854" w:rsidP="00296854">
          <w:pPr>
            <w:rPr>
              <w:b/>
              <w:bCs/>
              <w:noProof/>
            </w:rPr>
          </w:pPr>
          <w:r>
            <w:rPr>
              <w:b/>
              <w:bCs/>
              <w:noProof/>
            </w:rPr>
            <w:fldChar w:fldCharType="end"/>
          </w:r>
        </w:p>
        <w:bookmarkStart w:id="4" w:name="_GoBack" w:displacedByCustomXml="next"/>
        <w:bookmarkEnd w:id="4" w:displacedByCustomXml="next"/>
      </w:sdtContent>
    </w:sdt>
    <w:p w:rsidR="00350E4B" w:rsidRPr="005F3F5B" w:rsidRDefault="00350E4B" w:rsidP="005F3F5B">
      <w:pPr>
        <w:pStyle w:val="Heading2"/>
        <w:ind w:left="357" w:hanging="357"/>
        <w:rPr>
          <w:sz w:val="28"/>
          <w:szCs w:val="28"/>
        </w:rPr>
      </w:pPr>
      <w:bookmarkStart w:id="5" w:name="_Toc166410"/>
      <w:r w:rsidRPr="005F3F5B">
        <w:rPr>
          <w:sz w:val="28"/>
          <w:szCs w:val="28"/>
        </w:rPr>
        <w:lastRenderedPageBreak/>
        <w:t>Procedure for raising workplace issues</w:t>
      </w:r>
      <w:bookmarkEnd w:id="5"/>
    </w:p>
    <w:p w:rsidR="00B70188" w:rsidRDefault="00350E4B" w:rsidP="00066BAB">
      <w:r w:rsidRPr="00066BAB">
        <w:t xml:space="preserve">All workplace issues should be raised as early as possible. As far as practicable, issues that arise in the workplace should be resolved </w:t>
      </w:r>
      <w:r w:rsidR="00274036" w:rsidRPr="00066BAB">
        <w:t xml:space="preserve">as quickly as possible </w:t>
      </w:r>
      <w:r w:rsidRPr="00066BAB">
        <w:t xml:space="preserve">at </w:t>
      </w:r>
      <w:r w:rsidR="005118B5">
        <w:t>the</w:t>
      </w:r>
      <w:r w:rsidRPr="00066BAB">
        <w:t xml:space="preserve"> local level through discussions with the relevant </w:t>
      </w:r>
      <w:r w:rsidR="005118B5">
        <w:t>people.</w:t>
      </w:r>
      <w:r w:rsidRPr="00066BAB">
        <w:t xml:space="preserve">  </w:t>
      </w:r>
    </w:p>
    <w:p w:rsidR="00350E4B" w:rsidRDefault="00350E4B" w:rsidP="00066BAB">
      <w:r w:rsidRPr="00FB11C3">
        <w:t xml:space="preserve">If this is not possible, </w:t>
      </w:r>
      <w:r w:rsidR="005118B5">
        <w:t>the issue</w:t>
      </w:r>
      <w:r w:rsidRPr="00FB11C3">
        <w:t xml:space="preserve"> should be discussed with the complainant’s supervisor or supervisor’s manager.</w:t>
      </w:r>
      <w:r>
        <w:t xml:space="preserve"> </w:t>
      </w:r>
      <w:r w:rsidR="00B70188">
        <w:t>Alternatively,</w:t>
      </w:r>
      <w:r>
        <w:t xml:space="preserve"> issues may be raised through </w:t>
      </w:r>
      <w:r w:rsidR="00066BAB">
        <w:t>CIT’s</w:t>
      </w:r>
      <w:r w:rsidR="003A09D5">
        <w:t xml:space="preserve"> </w:t>
      </w:r>
      <w:r w:rsidR="00066BAB">
        <w:t>H</w:t>
      </w:r>
      <w:r w:rsidR="008D653E">
        <w:t xml:space="preserve">uman </w:t>
      </w:r>
      <w:r w:rsidR="00066BAB">
        <w:t>R</w:t>
      </w:r>
      <w:r w:rsidR="008D653E">
        <w:t>esources</w:t>
      </w:r>
      <w:r w:rsidR="00066BAB">
        <w:t xml:space="preserve"> and Organisational Development</w:t>
      </w:r>
      <w:r w:rsidR="008D653E">
        <w:t xml:space="preserve"> </w:t>
      </w:r>
      <w:r w:rsidR="00066BAB">
        <w:t>team</w:t>
      </w:r>
      <w:r w:rsidR="003A09D5">
        <w:t xml:space="preserve">. </w:t>
      </w:r>
    </w:p>
    <w:p w:rsidR="00B70188" w:rsidRDefault="00B70188" w:rsidP="00066BAB">
      <w:r>
        <w:t>All workplace issues raised will be treated respect.</w:t>
      </w:r>
    </w:p>
    <w:p w:rsidR="00350E4B" w:rsidRPr="00FB11C3" w:rsidRDefault="00350E4B" w:rsidP="00066BAB">
      <w:r w:rsidRPr="00FB11C3">
        <w:t>Advice and/or support may be sought by all parties at any point of the process.  This may be obtained from a number of different sources including:</w:t>
      </w:r>
    </w:p>
    <w:p w:rsidR="00350E4B" w:rsidRPr="00FB11C3" w:rsidRDefault="00350E4B" w:rsidP="00782C8E">
      <w:pPr>
        <w:pStyle w:val="ListParagraph"/>
        <w:numPr>
          <w:ilvl w:val="0"/>
          <w:numId w:val="7"/>
        </w:numPr>
        <w:spacing w:after="120" w:line="240" w:lineRule="auto"/>
        <w:ind w:left="714" w:hanging="357"/>
        <w:contextualSpacing w:val="0"/>
      </w:pPr>
      <w:r w:rsidRPr="00FB11C3">
        <w:t>immediate supervisor;</w:t>
      </w:r>
    </w:p>
    <w:p w:rsidR="00350E4B" w:rsidRPr="00FB11C3" w:rsidRDefault="00350E4B" w:rsidP="00782C8E">
      <w:pPr>
        <w:pStyle w:val="ListParagraph"/>
        <w:numPr>
          <w:ilvl w:val="0"/>
          <w:numId w:val="7"/>
        </w:numPr>
        <w:spacing w:after="120" w:line="240" w:lineRule="auto"/>
        <w:ind w:left="714" w:hanging="357"/>
        <w:contextualSpacing w:val="0"/>
      </w:pPr>
      <w:r w:rsidRPr="00FB11C3">
        <w:t xml:space="preserve">a CIT supervisor or manager; </w:t>
      </w:r>
    </w:p>
    <w:p w:rsidR="00A133E0" w:rsidRPr="00FB11C3" w:rsidRDefault="00A133E0" w:rsidP="00A133E0">
      <w:pPr>
        <w:pStyle w:val="ListParagraph"/>
        <w:numPr>
          <w:ilvl w:val="0"/>
          <w:numId w:val="7"/>
        </w:numPr>
        <w:spacing w:after="120" w:line="240" w:lineRule="auto"/>
        <w:ind w:left="714" w:hanging="357"/>
        <w:contextualSpacing w:val="0"/>
      </w:pPr>
      <w:r w:rsidRPr="00FB11C3">
        <w:t>CIT Human Resources</w:t>
      </w:r>
      <w:r>
        <w:t xml:space="preserve"> and Organisational Development team</w:t>
      </w:r>
      <w:r w:rsidRPr="00FB11C3">
        <w:t>;</w:t>
      </w:r>
    </w:p>
    <w:p w:rsidR="005118B5" w:rsidRDefault="005118B5" w:rsidP="00782C8E">
      <w:pPr>
        <w:pStyle w:val="ListParagraph"/>
        <w:numPr>
          <w:ilvl w:val="0"/>
          <w:numId w:val="7"/>
        </w:numPr>
        <w:spacing w:after="120" w:line="240" w:lineRule="auto"/>
        <w:ind w:left="714" w:hanging="357"/>
        <w:contextualSpacing w:val="0"/>
      </w:pPr>
      <w:r>
        <w:t>Senior Manager, Audit, Risk and Corporate Governance;</w:t>
      </w:r>
    </w:p>
    <w:p w:rsidR="00350E4B" w:rsidRPr="00FB11C3" w:rsidRDefault="00350E4B" w:rsidP="00782C8E">
      <w:pPr>
        <w:pStyle w:val="ListParagraph"/>
        <w:numPr>
          <w:ilvl w:val="0"/>
          <w:numId w:val="7"/>
        </w:numPr>
        <w:spacing w:after="120" w:line="240" w:lineRule="auto"/>
        <w:ind w:left="714" w:hanging="357"/>
        <w:contextualSpacing w:val="0"/>
      </w:pPr>
      <w:r w:rsidRPr="00FB11C3">
        <w:t>a R</w:t>
      </w:r>
      <w:r w:rsidR="00066BAB">
        <w:t>espect</w:t>
      </w:r>
      <w:r w:rsidR="005F3F5B">
        <w:t>,</w:t>
      </w:r>
      <w:r w:rsidR="00066BAB">
        <w:t xml:space="preserve"> Equity and Diversity (R</w:t>
      </w:r>
      <w:r w:rsidRPr="00FB11C3">
        <w:t>ED</w:t>
      </w:r>
      <w:r w:rsidR="00066BAB">
        <w:t>)</w:t>
      </w:r>
      <w:r w:rsidRPr="00FB11C3">
        <w:t xml:space="preserve"> contact officer;</w:t>
      </w:r>
    </w:p>
    <w:p w:rsidR="00350E4B" w:rsidRPr="00FB11C3" w:rsidRDefault="00350E4B" w:rsidP="00782C8E">
      <w:pPr>
        <w:pStyle w:val="ListParagraph"/>
        <w:numPr>
          <w:ilvl w:val="0"/>
          <w:numId w:val="7"/>
        </w:numPr>
        <w:spacing w:after="120" w:line="240" w:lineRule="auto"/>
        <w:ind w:left="714" w:hanging="357"/>
        <w:contextualSpacing w:val="0"/>
      </w:pPr>
      <w:r>
        <w:t>U</w:t>
      </w:r>
      <w:r w:rsidRPr="00FB11C3">
        <w:t>nion representative;</w:t>
      </w:r>
    </w:p>
    <w:p w:rsidR="00350E4B" w:rsidRPr="00FB11C3" w:rsidRDefault="00350E4B" w:rsidP="00782C8E">
      <w:pPr>
        <w:pStyle w:val="ListParagraph"/>
        <w:numPr>
          <w:ilvl w:val="0"/>
          <w:numId w:val="7"/>
        </w:numPr>
        <w:spacing w:after="120" w:line="240" w:lineRule="auto"/>
        <w:ind w:left="714" w:hanging="357"/>
        <w:contextualSpacing w:val="0"/>
      </w:pPr>
      <w:r w:rsidRPr="00FB11C3">
        <w:t>EAP (Employee Assistance Program); and</w:t>
      </w:r>
    </w:p>
    <w:p w:rsidR="00350E4B" w:rsidRDefault="00350E4B" w:rsidP="00782C8E">
      <w:pPr>
        <w:pStyle w:val="ListParagraph"/>
        <w:numPr>
          <w:ilvl w:val="0"/>
          <w:numId w:val="7"/>
        </w:numPr>
        <w:spacing w:after="120" w:line="240" w:lineRule="auto"/>
        <w:ind w:left="714" w:hanging="357"/>
        <w:contextualSpacing w:val="0"/>
      </w:pPr>
      <w:r w:rsidRPr="00FB11C3">
        <w:t>EAP Manager Assist (Managers).</w:t>
      </w:r>
    </w:p>
    <w:p w:rsidR="00B70188" w:rsidRPr="005F3F5B" w:rsidRDefault="00B70188" w:rsidP="005F3F5B">
      <w:pPr>
        <w:pStyle w:val="Heading2"/>
        <w:ind w:left="357" w:hanging="357"/>
        <w:rPr>
          <w:sz w:val="28"/>
          <w:szCs w:val="28"/>
        </w:rPr>
      </w:pPr>
      <w:bookmarkStart w:id="6" w:name="_Toc166411"/>
      <w:r w:rsidRPr="005F3F5B">
        <w:rPr>
          <w:sz w:val="28"/>
          <w:szCs w:val="28"/>
        </w:rPr>
        <w:t>Procedure for responding to workplace issues</w:t>
      </w:r>
      <w:bookmarkEnd w:id="6"/>
    </w:p>
    <w:p w:rsidR="00B15F67" w:rsidRDefault="00350E4B" w:rsidP="00B15F67">
      <w:r w:rsidRPr="00F637B9">
        <w:t xml:space="preserve">On receiving </w:t>
      </w:r>
      <w:r w:rsidR="008E1FCF">
        <w:t xml:space="preserve">advice of </w:t>
      </w:r>
      <w:r w:rsidRPr="00F637B9">
        <w:t>a workplace issue</w:t>
      </w:r>
      <w:r>
        <w:t>,</w:t>
      </w:r>
      <w:r w:rsidRPr="00F637B9">
        <w:t xml:space="preserve"> </w:t>
      </w:r>
      <w:r w:rsidR="008E1FCF">
        <w:t>a</w:t>
      </w:r>
      <w:r w:rsidRPr="00F637B9">
        <w:t xml:space="preserve"> supervisor will determine whether they are the appropriate person to manage the issue or if it should be referred elsewhere. </w:t>
      </w:r>
      <w:r w:rsidR="008E1FCF">
        <w:t xml:space="preserve">Supervisors </w:t>
      </w:r>
      <w:r w:rsidR="00B15F67">
        <w:t xml:space="preserve">should </w:t>
      </w:r>
      <w:r w:rsidR="00992DC6">
        <w:t>be mindful</w:t>
      </w:r>
      <w:r w:rsidR="00B15F67">
        <w:t xml:space="preserve"> that</w:t>
      </w:r>
      <w:r w:rsidR="005E509F">
        <w:t>,</w:t>
      </w:r>
      <w:r w:rsidR="00B15F67">
        <w:t xml:space="preserve"> a</w:t>
      </w:r>
      <w:r w:rsidR="00B15F67" w:rsidRPr="00066BAB">
        <w:t>s far as practicable, issues that arise in the workplace should be resolved</w:t>
      </w:r>
      <w:r w:rsidR="008E1FCF">
        <w:t xml:space="preserve"> </w:t>
      </w:r>
      <w:r w:rsidR="00B15F67" w:rsidRPr="00066BAB">
        <w:t xml:space="preserve">as quickly as possible at </w:t>
      </w:r>
      <w:r w:rsidR="005E509F">
        <w:t>the</w:t>
      </w:r>
      <w:r w:rsidR="00B15F67" w:rsidRPr="00066BAB">
        <w:t xml:space="preserve"> local level through discussions with the relevant</w:t>
      </w:r>
      <w:r w:rsidR="005118B5">
        <w:t xml:space="preserve"> people</w:t>
      </w:r>
      <w:r w:rsidR="00B15F67" w:rsidRPr="00066BAB">
        <w:t xml:space="preserve">.  </w:t>
      </w:r>
    </w:p>
    <w:p w:rsidR="00B15F67" w:rsidRDefault="008E1FCF" w:rsidP="00B15F67">
      <w:r>
        <w:t>In considering who is the best person to deal with a workplace issue</w:t>
      </w:r>
      <w:r w:rsidR="00DE7B67">
        <w:t>,</w:t>
      </w:r>
      <w:r>
        <w:t xml:space="preserve"> supervisors will consider:</w:t>
      </w:r>
      <w:r w:rsidR="00350E4B" w:rsidRPr="00F637B9">
        <w:t xml:space="preserve"> </w:t>
      </w:r>
    </w:p>
    <w:p w:rsidR="00350E4B" w:rsidRPr="00A93221" w:rsidRDefault="00350E4B" w:rsidP="00782C8E">
      <w:pPr>
        <w:pStyle w:val="ListParagraph"/>
        <w:numPr>
          <w:ilvl w:val="0"/>
          <w:numId w:val="8"/>
        </w:numPr>
        <w:spacing w:after="120" w:line="240" w:lineRule="auto"/>
        <w:ind w:left="714" w:hanging="357"/>
        <w:contextualSpacing w:val="0"/>
      </w:pPr>
      <w:r w:rsidRPr="00A93221">
        <w:t>Determine the allegation</w:t>
      </w:r>
      <w:r w:rsidR="00066BAB">
        <w:t>(s)</w:t>
      </w:r>
      <w:r w:rsidRPr="00A93221">
        <w:t xml:space="preserve"> and identify all the key issues to be addressed.</w:t>
      </w:r>
    </w:p>
    <w:p w:rsidR="00350E4B" w:rsidRDefault="008E1FCF" w:rsidP="00782C8E">
      <w:pPr>
        <w:pStyle w:val="ListParagraph"/>
        <w:numPr>
          <w:ilvl w:val="0"/>
          <w:numId w:val="8"/>
        </w:numPr>
        <w:spacing w:after="120" w:line="240" w:lineRule="auto"/>
        <w:ind w:left="714" w:hanging="357"/>
        <w:contextualSpacing w:val="0"/>
      </w:pPr>
      <w:r>
        <w:t>Whether or not the supervisor may have a conflict of inter</w:t>
      </w:r>
      <w:r w:rsidR="00CC115F">
        <w:t>e</w:t>
      </w:r>
      <w:r>
        <w:t>st in dealing with the issue(s).  If so</w:t>
      </w:r>
      <w:r w:rsidR="00DE7B67">
        <w:t>,</w:t>
      </w:r>
      <w:r>
        <w:t xml:space="preserve"> the supervisor will disclose this to their supervisor and/or </w:t>
      </w:r>
      <w:r w:rsidR="00350E4B" w:rsidRPr="00A93221">
        <w:t>the</w:t>
      </w:r>
      <w:r w:rsidR="00066BAB">
        <w:t xml:space="preserve"> </w:t>
      </w:r>
      <w:r w:rsidR="003A09D5">
        <w:t xml:space="preserve">Senior </w:t>
      </w:r>
      <w:r w:rsidR="00066BAB">
        <w:t>Director</w:t>
      </w:r>
      <w:r w:rsidR="003A09D5">
        <w:t xml:space="preserve">, Human Resources and Organisational Development. </w:t>
      </w:r>
      <w:r>
        <w:t xml:space="preserve"> </w:t>
      </w:r>
      <w:r w:rsidR="00350E4B">
        <w:t>The</w:t>
      </w:r>
      <w:r>
        <w:t xml:space="preserve"> supervisor’s manager and/or the Senior Director, Human Resources and Organisational Development </w:t>
      </w:r>
      <w:r w:rsidR="00350E4B">
        <w:t xml:space="preserve">will determine whether it is appropriate </w:t>
      </w:r>
      <w:r>
        <w:t xml:space="preserve">to the supervisor to </w:t>
      </w:r>
      <w:r w:rsidR="00350E4B">
        <w:t>manage the issue or whether another person should be allocated to this role.</w:t>
      </w:r>
    </w:p>
    <w:p w:rsidR="00350E4B" w:rsidRDefault="00350E4B" w:rsidP="00782C8E">
      <w:pPr>
        <w:pStyle w:val="ListParagraph"/>
        <w:numPr>
          <w:ilvl w:val="0"/>
          <w:numId w:val="8"/>
        </w:numPr>
        <w:spacing w:after="120" w:line="240" w:lineRule="auto"/>
        <w:ind w:left="714" w:hanging="357"/>
        <w:contextualSpacing w:val="0"/>
      </w:pPr>
      <w:r>
        <w:t xml:space="preserve">The risk level of the issue </w:t>
      </w:r>
      <w:r w:rsidR="008E1FCF">
        <w:t>(refer Table 1)</w:t>
      </w:r>
      <w:r>
        <w:t>.</w:t>
      </w:r>
    </w:p>
    <w:p w:rsidR="00350E4B" w:rsidRPr="00350E4B" w:rsidRDefault="00350E4B" w:rsidP="00782C8E">
      <w:pPr>
        <w:pStyle w:val="ListParagraph"/>
        <w:numPr>
          <w:ilvl w:val="0"/>
          <w:numId w:val="8"/>
        </w:numPr>
        <w:spacing w:after="120" w:line="240" w:lineRule="auto"/>
        <w:ind w:left="714" w:hanging="357"/>
        <w:contextualSpacing w:val="0"/>
      </w:pPr>
      <w:r w:rsidRPr="00350E4B">
        <w:t xml:space="preserve">CIT </w:t>
      </w:r>
      <w:r w:rsidR="005118B5">
        <w:t>Human Resources and Organisational Development</w:t>
      </w:r>
      <w:r w:rsidR="008D653E">
        <w:t xml:space="preserve"> </w:t>
      </w:r>
      <w:r w:rsidRPr="00350E4B">
        <w:t xml:space="preserve">is available to provide advice and assistance to resolve matters and/or assess the risk level of the workplace issue. </w:t>
      </w:r>
    </w:p>
    <w:p w:rsidR="00350E4B" w:rsidRPr="0091276B" w:rsidRDefault="00350E4B" w:rsidP="00066BAB">
      <w:pPr>
        <w:rPr>
          <w:b/>
        </w:rPr>
      </w:pPr>
    </w:p>
    <w:tbl>
      <w:tblPr>
        <w:tblStyle w:val="TableGrid"/>
        <w:tblW w:w="0" w:type="auto"/>
        <w:tblInd w:w="534" w:type="dxa"/>
        <w:tblLook w:val="04A0" w:firstRow="1" w:lastRow="0" w:firstColumn="1" w:lastColumn="0" w:noHBand="0" w:noVBand="1"/>
      </w:tblPr>
      <w:tblGrid>
        <w:gridCol w:w="1203"/>
        <w:gridCol w:w="2663"/>
        <w:gridCol w:w="1813"/>
        <w:gridCol w:w="1517"/>
        <w:gridCol w:w="1517"/>
      </w:tblGrid>
      <w:tr w:rsidR="00296854" w:rsidTr="00296854">
        <w:tc>
          <w:tcPr>
            <w:tcW w:w="8713" w:type="dxa"/>
            <w:gridSpan w:val="5"/>
          </w:tcPr>
          <w:p w:rsidR="00296854" w:rsidRPr="00B70188" w:rsidRDefault="00296854" w:rsidP="00296854">
            <w:pPr>
              <w:pStyle w:val="Heading2"/>
              <w:numPr>
                <w:ilvl w:val="0"/>
                <w:numId w:val="0"/>
              </w:numPr>
              <w:spacing w:before="60"/>
            </w:pPr>
            <w:bookmarkStart w:id="7" w:name="_Toc166412"/>
            <w:r w:rsidRPr="0091276B">
              <w:lastRenderedPageBreak/>
              <w:t>Table 1 – Risk Assessment</w:t>
            </w:r>
            <w:bookmarkEnd w:id="7"/>
          </w:p>
        </w:tc>
      </w:tr>
      <w:tr w:rsidR="0097259C" w:rsidTr="00296854">
        <w:tc>
          <w:tcPr>
            <w:tcW w:w="1203" w:type="dxa"/>
          </w:tcPr>
          <w:p w:rsidR="00350E4B" w:rsidRPr="00B70188" w:rsidRDefault="00350E4B" w:rsidP="00576B01">
            <w:pPr>
              <w:keepNext/>
              <w:rPr>
                <w:b/>
              </w:rPr>
            </w:pPr>
            <w:r w:rsidRPr="00B70188">
              <w:rPr>
                <w:b/>
              </w:rPr>
              <w:t>Risk level</w:t>
            </w:r>
          </w:p>
        </w:tc>
        <w:tc>
          <w:tcPr>
            <w:tcW w:w="2663" w:type="dxa"/>
          </w:tcPr>
          <w:p w:rsidR="00350E4B" w:rsidRPr="00B70188" w:rsidRDefault="00350E4B" w:rsidP="00576B01">
            <w:pPr>
              <w:keepNext/>
              <w:rPr>
                <w:b/>
              </w:rPr>
            </w:pPr>
            <w:r w:rsidRPr="00B70188">
              <w:rPr>
                <w:b/>
              </w:rPr>
              <w:t>Factors for consideration</w:t>
            </w:r>
          </w:p>
        </w:tc>
        <w:tc>
          <w:tcPr>
            <w:tcW w:w="1813" w:type="dxa"/>
          </w:tcPr>
          <w:p w:rsidR="00350E4B" w:rsidRPr="00B70188" w:rsidRDefault="00350E4B" w:rsidP="00576B01">
            <w:pPr>
              <w:keepNext/>
              <w:rPr>
                <w:b/>
              </w:rPr>
            </w:pPr>
            <w:r w:rsidRPr="00B70188">
              <w:rPr>
                <w:b/>
              </w:rPr>
              <w:t>Workplace Issue Manager</w:t>
            </w:r>
          </w:p>
        </w:tc>
        <w:tc>
          <w:tcPr>
            <w:tcW w:w="1517" w:type="dxa"/>
          </w:tcPr>
          <w:p w:rsidR="00350E4B" w:rsidRPr="00B70188" w:rsidRDefault="00350E4B" w:rsidP="00576B01">
            <w:pPr>
              <w:keepNext/>
              <w:rPr>
                <w:b/>
              </w:rPr>
            </w:pPr>
            <w:r w:rsidRPr="00B70188">
              <w:rPr>
                <w:b/>
              </w:rPr>
              <w:t xml:space="preserve">Consult with and keep informed </w:t>
            </w:r>
          </w:p>
        </w:tc>
        <w:tc>
          <w:tcPr>
            <w:tcW w:w="1517" w:type="dxa"/>
          </w:tcPr>
          <w:p w:rsidR="00350E4B" w:rsidRPr="00B70188" w:rsidRDefault="00350E4B" w:rsidP="00576B01">
            <w:pPr>
              <w:keepNext/>
              <w:rPr>
                <w:b/>
              </w:rPr>
            </w:pPr>
            <w:r w:rsidRPr="00B70188">
              <w:rPr>
                <w:b/>
              </w:rPr>
              <w:t>Responsibility for Record keeping</w:t>
            </w:r>
          </w:p>
        </w:tc>
      </w:tr>
      <w:tr w:rsidR="0097259C" w:rsidTr="00296854">
        <w:tc>
          <w:tcPr>
            <w:tcW w:w="1203" w:type="dxa"/>
          </w:tcPr>
          <w:p w:rsidR="00350E4B" w:rsidRPr="00B70188" w:rsidRDefault="00350E4B" w:rsidP="00066BAB">
            <w:pPr>
              <w:rPr>
                <w:b/>
              </w:rPr>
            </w:pPr>
            <w:r w:rsidRPr="00B70188">
              <w:rPr>
                <w:b/>
              </w:rPr>
              <w:t>Low</w:t>
            </w:r>
          </w:p>
        </w:tc>
        <w:tc>
          <w:tcPr>
            <w:tcW w:w="2663" w:type="dxa"/>
          </w:tcPr>
          <w:p w:rsidR="00350E4B" w:rsidRDefault="00350E4B" w:rsidP="00066BAB">
            <w:r>
              <w:t>No breach of policy or procedure has occurred.</w:t>
            </w:r>
          </w:p>
          <w:p w:rsidR="00350E4B" w:rsidRDefault="00350E4B" w:rsidP="00066BAB">
            <w:r>
              <w:t>Low impact on staff morale.</w:t>
            </w:r>
          </w:p>
        </w:tc>
        <w:tc>
          <w:tcPr>
            <w:tcW w:w="1813" w:type="dxa"/>
          </w:tcPr>
          <w:p w:rsidR="00350E4B" w:rsidRDefault="00350E4B" w:rsidP="00066BAB">
            <w:r>
              <w:t>Immediate supervisor</w:t>
            </w:r>
          </w:p>
        </w:tc>
        <w:tc>
          <w:tcPr>
            <w:tcW w:w="1517" w:type="dxa"/>
          </w:tcPr>
          <w:p w:rsidR="00350E4B" w:rsidRDefault="00350E4B" w:rsidP="00066BAB">
            <w:r>
              <w:t>College Director</w:t>
            </w:r>
          </w:p>
          <w:p w:rsidR="00350E4B" w:rsidRDefault="00350E4B" w:rsidP="00066BAB">
            <w:r>
              <w:t>Senior Manager in Division</w:t>
            </w:r>
          </w:p>
        </w:tc>
        <w:tc>
          <w:tcPr>
            <w:tcW w:w="1517" w:type="dxa"/>
          </w:tcPr>
          <w:p w:rsidR="00350E4B" w:rsidRDefault="00350E4B" w:rsidP="00066BAB">
            <w:r>
              <w:t>Immediate supervisor via file note or email</w:t>
            </w:r>
          </w:p>
        </w:tc>
      </w:tr>
      <w:tr w:rsidR="0097259C" w:rsidTr="00296854">
        <w:tc>
          <w:tcPr>
            <w:tcW w:w="1203" w:type="dxa"/>
          </w:tcPr>
          <w:p w:rsidR="00350E4B" w:rsidRPr="00B70188" w:rsidRDefault="00350E4B" w:rsidP="00066BAB">
            <w:pPr>
              <w:rPr>
                <w:b/>
              </w:rPr>
            </w:pPr>
            <w:r w:rsidRPr="00B70188">
              <w:rPr>
                <w:b/>
              </w:rPr>
              <w:t xml:space="preserve">Moderate </w:t>
            </w:r>
          </w:p>
        </w:tc>
        <w:tc>
          <w:tcPr>
            <w:tcW w:w="2663" w:type="dxa"/>
          </w:tcPr>
          <w:p w:rsidR="00350E4B" w:rsidRDefault="00350E4B" w:rsidP="00066BAB">
            <w:r>
              <w:t>Potential breach of CIT policy or procedure.</w:t>
            </w:r>
          </w:p>
          <w:p w:rsidR="00350E4B" w:rsidRDefault="00350E4B" w:rsidP="00066BAB">
            <w:r>
              <w:t>Some impact on staff morale but can be managed at College/Division level.</w:t>
            </w:r>
          </w:p>
          <w:p w:rsidR="00350E4B" w:rsidRDefault="00350E4B" w:rsidP="00066BAB">
            <w:r>
              <w:t>Low impact on business operations and/or health and well-being of employees</w:t>
            </w:r>
          </w:p>
        </w:tc>
        <w:tc>
          <w:tcPr>
            <w:tcW w:w="1813" w:type="dxa"/>
          </w:tcPr>
          <w:p w:rsidR="00350E4B" w:rsidRDefault="00350E4B" w:rsidP="00066BAB">
            <w:r>
              <w:t>College Director</w:t>
            </w:r>
          </w:p>
          <w:p w:rsidR="00350E4B" w:rsidRDefault="00350E4B" w:rsidP="00066BAB">
            <w:r>
              <w:t>Senior Manager in Division</w:t>
            </w:r>
          </w:p>
        </w:tc>
        <w:tc>
          <w:tcPr>
            <w:tcW w:w="1517" w:type="dxa"/>
          </w:tcPr>
          <w:p w:rsidR="005F3F5B" w:rsidRDefault="0097259C" w:rsidP="005F3F5B">
            <w:r>
              <w:t xml:space="preserve">Senior Director Human Resources and </w:t>
            </w:r>
            <w:r w:rsidR="00B70188">
              <w:t>Organisational</w:t>
            </w:r>
            <w:r>
              <w:t xml:space="preserve"> </w:t>
            </w:r>
            <w:r w:rsidR="00B70188">
              <w:t>Development</w:t>
            </w:r>
            <w:r>
              <w:t xml:space="preserve"> </w:t>
            </w:r>
          </w:p>
          <w:p w:rsidR="00350E4B" w:rsidRDefault="0097259C" w:rsidP="005F3F5B">
            <w:r>
              <w:t>Executive Director Corporate S</w:t>
            </w:r>
            <w:r w:rsidR="003A09D5">
              <w:t>ervice</w:t>
            </w:r>
            <w:r>
              <w:t>s</w:t>
            </w:r>
          </w:p>
        </w:tc>
        <w:tc>
          <w:tcPr>
            <w:tcW w:w="1517" w:type="dxa"/>
          </w:tcPr>
          <w:p w:rsidR="00350E4B" w:rsidRDefault="00350E4B" w:rsidP="00066BAB">
            <w:r>
              <w:t>College Director</w:t>
            </w:r>
          </w:p>
          <w:p w:rsidR="00350E4B" w:rsidRDefault="00350E4B" w:rsidP="00066BAB">
            <w:r>
              <w:t>Senior Manager in Division</w:t>
            </w:r>
          </w:p>
          <w:p w:rsidR="00350E4B" w:rsidRDefault="00350E4B" w:rsidP="005E509F">
            <w:r>
              <w:t xml:space="preserve">Through </w:t>
            </w:r>
            <w:r w:rsidR="008A20B8">
              <w:t>Complaint Handling System</w:t>
            </w:r>
            <w:r>
              <w:t xml:space="preserve"> and CIT file</w:t>
            </w:r>
          </w:p>
        </w:tc>
      </w:tr>
      <w:tr w:rsidR="0097259C" w:rsidTr="00296854">
        <w:tc>
          <w:tcPr>
            <w:tcW w:w="1203" w:type="dxa"/>
          </w:tcPr>
          <w:p w:rsidR="00350E4B" w:rsidRPr="00B70188" w:rsidRDefault="00350E4B" w:rsidP="00066BAB">
            <w:pPr>
              <w:rPr>
                <w:b/>
              </w:rPr>
            </w:pPr>
            <w:r w:rsidRPr="00B70188">
              <w:rPr>
                <w:b/>
              </w:rPr>
              <w:t>High</w:t>
            </w:r>
          </w:p>
        </w:tc>
        <w:tc>
          <w:tcPr>
            <w:tcW w:w="2663" w:type="dxa"/>
          </w:tcPr>
          <w:p w:rsidR="00350E4B" w:rsidRDefault="00350E4B" w:rsidP="00066BAB">
            <w:r>
              <w:t>Potential breach of legislation.</w:t>
            </w:r>
          </w:p>
          <w:p w:rsidR="00350E4B" w:rsidRDefault="00350E4B" w:rsidP="00066BAB">
            <w:r>
              <w:t xml:space="preserve">Potential misconduct matter. </w:t>
            </w:r>
          </w:p>
          <w:p w:rsidR="00350E4B" w:rsidRDefault="00350E4B" w:rsidP="00066BAB">
            <w:r>
              <w:t>Significant impact on staff morale.</w:t>
            </w:r>
          </w:p>
          <w:p w:rsidR="00350E4B" w:rsidRDefault="00350E4B" w:rsidP="00066BAB">
            <w:r>
              <w:t>Significant impact on business operations and/or health and well-being of employees</w:t>
            </w:r>
          </w:p>
          <w:p w:rsidR="00350E4B" w:rsidRDefault="00350E4B" w:rsidP="00066BAB">
            <w:r>
              <w:t>Possibility of workers compensation claims of a Fair Work Australia Complaint.</w:t>
            </w:r>
          </w:p>
          <w:p w:rsidR="00350E4B" w:rsidRDefault="00350E4B" w:rsidP="00066BAB">
            <w:r>
              <w:t>Potential reputational risk to CIT.</w:t>
            </w:r>
          </w:p>
        </w:tc>
        <w:tc>
          <w:tcPr>
            <w:tcW w:w="1813" w:type="dxa"/>
          </w:tcPr>
          <w:p w:rsidR="00350E4B" w:rsidRDefault="008A20B8" w:rsidP="00B70188">
            <w:r>
              <w:t xml:space="preserve">Matter to be referred to the Executive Director Corporate Services who will </w:t>
            </w:r>
            <w:r w:rsidR="005F3F5B">
              <w:t>d</w:t>
            </w:r>
            <w:r>
              <w:t>elegate the matter.</w:t>
            </w:r>
          </w:p>
        </w:tc>
        <w:tc>
          <w:tcPr>
            <w:tcW w:w="1517" w:type="dxa"/>
          </w:tcPr>
          <w:p w:rsidR="00350E4B" w:rsidRDefault="00350E4B" w:rsidP="00066BAB">
            <w:r>
              <w:t>Chief Executive</w:t>
            </w:r>
            <w:r w:rsidR="0097259C">
              <w:t xml:space="preserve"> Officer</w:t>
            </w:r>
          </w:p>
          <w:p w:rsidR="00350E4B" w:rsidRDefault="008A20B8" w:rsidP="008A20B8">
            <w:r>
              <w:t xml:space="preserve">Relevant Executive Director(s) </w:t>
            </w:r>
          </w:p>
        </w:tc>
        <w:tc>
          <w:tcPr>
            <w:tcW w:w="1517" w:type="dxa"/>
          </w:tcPr>
          <w:p w:rsidR="00350E4B" w:rsidRDefault="003A09D5" w:rsidP="005E509F">
            <w:r>
              <w:t>Senior Director Human Resources and Organisational</w:t>
            </w:r>
            <w:r w:rsidR="00B70188">
              <w:t xml:space="preserve"> </w:t>
            </w:r>
            <w:r>
              <w:t xml:space="preserve">Development </w:t>
            </w:r>
            <w:r w:rsidR="00350E4B">
              <w:t xml:space="preserve">Through </w:t>
            </w:r>
            <w:r w:rsidR="008A20B8">
              <w:t xml:space="preserve">Complaint Handling System </w:t>
            </w:r>
            <w:r w:rsidR="00350E4B">
              <w:t>and CIT</w:t>
            </w:r>
            <w:r w:rsidR="00992DC6">
              <w:t xml:space="preserve"> </w:t>
            </w:r>
            <w:r w:rsidR="00350E4B">
              <w:t>file</w:t>
            </w:r>
          </w:p>
        </w:tc>
      </w:tr>
    </w:tbl>
    <w:p w:rsidR="00350E4B" w:rsidRPr="005F3F5B" w:rsidRDefault="00C20238" w:rsidP="005F3F5B">
      <w:pPr>
        <w:pStyle w:val="Heading2"/>
        <w:ind w:left="357" w:hanging="357"/>
        <w:rPr>
          <w:sz w:val="28"/>
          <w:szCs w:val="28"/>
        </w:rPr>
      </w:pPr>
      <w:bookmarkStart w:id="8" w:name="_Toc166413"/>
      <w:r w:rsidRPr="005F3F5B">
        <w:rPr>
          <w:sz w:val="28"/>
          <w:szCs w:val="28"/>
        </w:rPr>
        <w:t>Preliminary Assessment</w:t>
      </w:r>
      <w:bookmarkEnd w:id="8"/>
    </w:p>
    <w:p w:rsidR="00C20238" w:rsidRPr="00F637B9" w:rsidRDefault="008B1CB0" w:rsidP="00C20238">
      <w:r>
        <w:t>T</w:t>
      </w:r>
      <w:r w:rsidR="008A20B8">
        <w:t xml:space="preserve">he </w:t>
      </w:r>
      <w:r w:rsidR="00C20238" w:rsidRPr="00F637B9">
        <w:t xml:space="preserve">Workplace Issue Manager </w:t>
      </w:r>
      <w:r w:rsidR="008A20B8">
        <w:t>determine</w:t>
      </w:r>
      <w:r>
        <w:t>s</w:t>
      </w:r>
      <w:r w:rsidR="008A20B8">
        <w:t xml:space="preserve"> </w:t>
      </w:r>
      <w:r>
        <w:t xml:space="preserve">whether </w:t>
      </w:r>
      <w:r w:rsidR="008A20B8">
        <w:t>a Preliminary Assessment will be undertaken</w:t>
      </w:r>
      <w:r w:rsidR="00C20238" w:rsidRPr="00F637B9">
        <w:t xml:space="preserve"> </w:t>
      </w:r>
      <w:r w:rsidR="008A20B8">
        <w:t xml:space="preserve">(refer CIT Enterprise Agreements). The Workplace Issue </w:t>
      </w:r>
      <w:r w:rsidR="008D653E">
        <w:t>M</w:t>
      </w:r>
      <w:r w:rsidR="008A20B8">
        <w:t xml:space="preserve">anager will </w:t>
      </w:r>
      <w:r w:rsidR="00C20238" w:rsidRPr="00F637B9">
        <w:t xml:space="preserve">work with </w:t>
      </w:r>
      <w:r w:rsidR="008A20B8">
        <w:t>the complainant to undertake a P</w:t>
      </w:r>
      <w:r w:rsidR="00C20238" w:rsidRPr="00F637B9">
        <w:t xml:space="preserve">reliminary </w:t>
      </w:r>
      <w:r w:rsidR="008A20B8">
        <w:t>A</w:t>
      </w:r>
      <w:r w:rsidR="00C20238" w:rsidRPr="00F637B9">
        <w:t>ssessment of the matter</w:t>
      </w:r>
      <w:r w:rsidR="008A20B8">
        <w:t xml:space="preserve"> and </w:t>
      </w:r>
      <w:r w:rsidR="00C20238" w:rsidRPr="00F637B9">
        <w:t>may take into consideration any of the following factors:</w:t>
      </w:r>
    </w:p>
    <w:p w:rsidR="00C20238" w:rsidRPr="002F4EAA" w:rsidRDefault="00C20238" w:rsidP="00782C8E">
      <w:pPr>
        <w:pStyle w:val="ListParagraph"/>
        <w:numPr>
          <w:ilvl w:val="0"/>
          <w:numId w:val="9"/>
        </w:numPr>
        <w:spacing w:after="120" w:line="240" w:lineRule="auto"/>
        <w:contextualSpacing w:val="0"/>
      </w:pPr>
      <w:r>
        <w:t>C</w:t>
      </w:r>
      <w:r w:rsidRPr="002F4EAA">
        <w:t>onfirm that a workplace issue has been raised;</w:t>
      </w:r>
    </w:p>
    <w:p w:rsidR="00C20238" w:rsidRPr="002F4EAA" w:rsidRDefault="00C20238" w:rsidP="00782C8E">
      <w:pPr>
        <w:pStyle w:val="ListParagraph"/>
        <w:numPr>
          <w:ilvl w:val="0"/>
          <w:numId w:val="9"/>
        </w:numPr>
        <w:spacing w:after="120" w:line="240" w:lineRule="auto"/>
        <w:contextualSpacing w:val="0"/>
      </w:pPr>
      <w:r>
        <w:t>O</w:t>
      </w:r>
      <w:r w:rsidRPr="002F4EAA">
        <w:t xml:space="preserve">btain detailed particulars </w:t>
      </w:r>
      <w:r w:rsidR="00CC115F">
        <w:t xml:space="preserve">of the issue </w:t>
      </w:r>
      <w:r w:rsidRPr="002F4EAA">
        <w:t>from the complainant;</w:t>
      </w:r>
    </w:p>
    <w:p w:rsidR="00C20238" w:rsidRPr="00040BB4" w:rsidRDefault="00C20238" w:rsidP="00782C8E">
      <w:pPr>
        <w:pStyle w:val="ListParagraph"/>
        <w:numPr>
          <w:ilvl w:val="0"/>
          <w:numId w:val="9"/>
        </w:numPr>
        <w:spacing w:after="120" w:line="240" w:lineRule="auto"/>
        <w:contextualSpacing w:val="0"/>
      </w:pPr>
      <w:r>
        <w:lastRenderedPageBreak/>
        <w:t>D</w:t>
      </w:r>
      <w:r w:rsidRPr="002F4EAA">
        <w:t>etermine what the complainant’s expectations are in terms of action by CIT</w:t>
      </w:r>
      <w:r w:rsidR="00976B65">
        <w:t xml:space="preserve"> and</w:t>
      </w:r>
      <w:r w:rsidRPr="002F4EAA">
        <w:t xml:space="preserve"> outcomes for themselves and others involve</w:t>
      </w:r>
      <w:r w:rsidR="00976B65">
        <w:t>d</w:t>
      </w:r>
      <w:r>
        <w:t xml:space="preserve"> noting that t</w:t>
      </w:r>
      <w:r w:rsidRPr="00040BB4">
        <w:t>he nature of the issue will influence the mechanism throu</w:t>
      </w:r>
      <w:r w:rsidR="00CC115F">
        <w:t>gh which the matter is resolved;</w:t>
      </w:r>
      <w:r w:rsidRPr="00040BB4">
        <w:t xml:space="preserve"> </w:t>
      </w:r>
    </w:p>
    <w:p w:rsidR="00C20238" w:rsidRDefault="00C20238" w:rsidP="00782C8E">
      <w:pPr>
        <w:pStyle w:val="ListParagraph"/>
        <w:numPr>
          <w:ilvl w:val="0"/>
          <w:numId w:val="9"/>
        </w:numPr>
        <w:spacing w:after="120" w:line="240" w:lineRule="auto"/>
        <w:contextualSpacing w:val="0"/>
      </w:pPr>
      <w:r>
        <w:t>Discuss the workplace issue with the respondent if appropriate. In some circumstances the respondent may not be informed in the first instance. In making the decision when and if to inform the respondent the workplace issues manager will take into cons</w:t>
      </w:r>
      <w:r w:rsidR="00CC115F">
        <w:t>ideration the following factors;</w:t>
      </w:r>
    </w:p>
    <w:p w:rsidR="00C20238" w:rsidRDefault="00C20238" w:rsidP="00782C8E">
      <w:pPr>
        <w:pStyle w:val="ListParagraph"/>
        <w:numPr>
          <w:ilvl w:val="0"/>
          <w:numId w:val="10"/>
        </w:numPr>
        <w:spacing w:after="120" w:line="240" w:lineRule="auto"/>
        <w:ind w:hanging="357"/>
        <w:contextualSpacing w:val="0"/>
      </w:pPr>
      <w:r>
        <w:t xml:space="preserve">whether the facts of the matter have been sufficiently clarified to articulate a clear </w:t>
      </w:r>
      <w:r w:rsidR="00CC115F">
        <w:t>description of the issue</w:t>
      </w:r>
      <w:r w:rsidR="00992DC6">
        <w:t>;</w:t>
      </w:r>
    </w:p>
    <w:p w:rsidR="00992DC6" w:rsidRDefault="00992DC6" w:rsidP="00782C8E">
      <w:pPr>
        <w:pStyle w:val="ListParagraph"/>
        <w:numPr>
          <w:ilvl w:val="0"/>
          <w:numId w:val="10"/>
        </w:numPr>
        <w:spacing w:after="120" w:line="240" w:lineRule="auto"/>
        <w:ind w:hanging="357"/>
        <w:contextualSpacing w:val="0"/>
      </w:pPr>
      <w:r>
        <w:t xml:space="preserve">in the interests of procedural fairness </w:t>
      </w:r>
      <w:r w:rsidR="005E509F">
        <w:t xml:space="preserve">and </w:t>
      </w:r>
      <w:r>
        <w:t>natural justice;</w:t>
      </w:r>
    </w:p>
    <w:p w:rsidR="00C20238" w:rsidRPr="00457C18" w:rsidRDefault="00992DC6" w:rsidP="00782C8E">
      <w:pPr>
        <w:pStyle w:val="ListParagraph"/>
        <w:numPr>
          <w:ilvl w:val="0"/>
          <w:numId w:val="10"/>
        </w:numPr>
        <w:spacing w:after="120" w:line="240" w:lineRule="auto"/>
        <w:ind w:hanging="357"/>
        <w:contextualSpacing w:val="0"/>
      </w:pPr>
      <w:r>
        <w:t xml:space="preserve">where </w:t>
      </w:r>
      <w:r w:rsidR="00C20238">
        <w:t>the respondent is on leave or experiencing significant personal stresses</w:t>
      </w:r>
      <w:r w:rsidR="008A20B8">
        <w:t>;</w:t>
      </w:r>
    </w:p>
    <w:p w:rsidR="00C20238" w:rsidRDefault="00C20238" w:rsidP="00782C8E">
      <w:pPr>
        <w:pStyle w:val="ListParagraph"/>
        <w:numPr>
          <w:ilvl w:val="0"/>
          <w:numId w:val="11"/>
        </w:numPr>
        <w:spacing w:after="120" w:line="240" w:lineRule="auto"/>
        <w:ind w:hanging="357"/>
        <w:contextualSpacing w:val="0"/>
      </w:pPr>
      <w:r>
        <w:t>I</w:t>
      </w:r>
      <w:r w:rsidRPr="002F4EAA">
        <w:t xml:space="preserve">dentify support required for all parties involved in the workplace issue. This may include </w:t>
      </w:r>
      <w:r>
        <w:t xml:space="preserve">provision of support through EAP </w:t>
      </w:r>
      <w:r w:rsidRPr="002F4EAA">
        <w:t>or transfer of an employe</w:t>
      </w:r>
      <w:r w:rsidR="005118B5">
        <w:t>e to another part of CIT.</w:t>
      </w:r>
      <w:r w:rsidRPr="002F4EAA">
        <w:t xml:space="preserve"> </w:t>
      </w:r>
    </w:p>
    <w:p w:rsidR="00D40E7E" w:rsidRPr="00F637B9" w:rsidRDefault="00D40E7E" w:rsidP="00D40E7E">
      <w:r w:rsidRPr="00F637B9">
        <w:t>The Workplace Issue Manager will determine whether:</w:t>
      </w:r>
    </w:p>
    <w:p w:rsidR="00D40E7E" w:rsidRPr="002F4EAA" w:rsidRDefault="00D40E7E" w:rsidP="00782C8E">
      <w:pPr>
        <w:pStyle w:val="ListParagraph"/>
        <w:numPr>
          <w:ilvl w:val="0"/>
          <w:numId w:val="12"/>
        </w:numPr>
        <w:spacing w:after="120" w:line="240" w:lineRule="auto"/>
        <w:contextualSpacing w:val="0"/>
      </w:pPr>
      <w:r>
        <w:t>N</w:t>
      </w:r>
      <w:r w:rsidRPr="002F4EAA">
        <w:t>o action is re</w:t>
      </w:r>
      <w:r>
        <w:t>quir</w:t>
      </w:r>
      <w:r w:rsidRPr="002F4EAA">
        <w:t xml:space="preserve">ed; </w:t>
      </w:r>
    </w:p>
    <w:p w:rsidR="00D40E7E" w:rsidRPr="002F4EAA" w:rsidRDefault="00D40E7E" w:rsidP="00782C8E">
      <w:pPr>
        <w:pStyle w:val="ListParagraph"/>
        <w:numPr>
          <w:ilvl w:val="0"/>
          <w:numId w:val="12"/>
        </w:numPr>
        <w:spacing w:after="120" w:line="240" w:lineRule="auto"/>
        <w:contextualSpacing w:val="0"/>
      </w:pPr>
      <w:r>
        <w:t>T</w:t>
      </w:r>
      <w:r w:rsidRPr="002F4EAA">
        <w:t>he issue could be resolved through informal counselling, other remedial actio</w:t>
      </w:r>
      <w:r w:rsidR="005E509F">
        <w:t>n or assistance to the employee. I</w:t>
      </w:r>
      <w:r>
        <w:t xml:space="preserve">f so, the </w:t>
      </w:r>
      <w:r w:rsidRPr="00F637B9">
        <w:t>Workplace Issue Manager</w:t>
      </w:r>
      <w:r>
        <w:t xml:space="preserve"> will implement such action</w:t>
      </w:r>
      <w:r w:rsidR="000D17AE">
        <w:t xml:space="preserve"> in </w:t>
      </w:r>
      <w:r w:rsidR="008B1CB0">
        <w:t>consultation</w:t>
      </w:r>
      <w:r w:rsidR="000D17AE">
        <w:t xml:space="preserve"> with CIT </w:t>
      </w:r>
      <w:r w:rsidR="005118B5">
        <w:t>Human Resources and Organisational Development</w:t>
      </w:r>
      <w:r>
        <w:t>;</w:t>
      </w:r>
    </w:p>
    <w:p w:rsidR="00D40E7E" w:rsidRPr="002F4EAA" w:rsidRDefault="00D40E7E" w:rsidP="00782C8E">
      <w:pPr>
        <w:pStyle w:val="ListParagraph"/>
        <w:numPr>
          <w:ilvl w:val="0"/>
          <w:numId w:val="12"/>
        </w:numPr>
        <w:spacing w:after="120" w:line="240" w:lineRule="auto"/>
        <w:contextualSpacing w:val="0"/>
      </w:pPr>
      <w:r>
        <w:t>T</w:t>
      </w:r>
      <w:r w:rsidRPr="002F4EAA">
        <w:t xml:space="preserve">he issue may require action under the misconduct </w:t>
      </w:r>
      <w:r w:rsidR="00CC115F">
        <w:t>and</w:t>
      </w:r>
      <w:r w:rsidRPr="002F4EAA">
        <w:t xml:space="preserve"> discipline procedures set out in the relevant Enterprise Agreement</w:t>
      </w:r>
      <w:r w:rsidR="004B1DA0">
        <w:t>s</w:t>
      </w:r>
      <w:r w:rsidR="00CC115F">
        <w:t>. I</w:t>
      </w:r>
      <w:r>
        <w:t xml:space="preserve">f so, the </w:t>
      </w:r>
      <w:r w:rsidRPr="00F637B9">
        <w:t>Workplace Issue Manager</w:t>
      </w:r>
      <w:r>
        <w:t xml:space="preserve"> will refer the matter accordingly;</w:t>
      </w:r>
    </w:p>
    <w:p w:rsidR="00D40E7E" w:rsidRDefault="00D40E7E" w:rsidP="00782C8E">
      <w:pPr>
        <w:pStyle w:val="ListParagraph"/>
        <w:numPr>
          <w:ilvl w:val="0"/>
          <w:numId w:val="12"/>
        </w:numPr>
        <w:spacing w:after="120" w:line="240" w:lineRule="auto"/>
        <w:contextualSpacing w:val="0"/>
      </w:pPr>
      <w:r>
        <w:t>T</w:t>
      </w:r>
      <w:r w:rsidRPr="002F4EAA">
        <w:t xml:space="preserve">he issue may </w:t>
      </w:r>
      <w:r w:rsidR="00992DC6">
        <w:t xml:space="preserve">be </w:t>
      </w:r>
      <w:r w:rsidRPr="002F4EAA">
        <w:t xml:space="preserve">better resolved through </w:t>
      </w:r>
      <w:r w:rsidR="00CC115F">
        <w:t>i</w:t>
      </w:r>
      <w:r w:rsidRPr="002F4EAA">
        <w:t xml:space="preserve">nternal </w:t>
      </w:r>
      <w:r w:rsidR="00CC115F">
        <w:t>r</w:t>
      </w:r>
      <w:r w:rsidRPr="002F4EAA">
        <w:t>eview procedures set out in the relevant Enterprise Agreement or an appropriate external mechanism</w:t>
      </w:r>
      <w:r w:rsidR="00CC115F">
        <w:t xml:space="preserve">.  If </w:t>
      </w:r>
      <w:r>
        <w:t xml:space="preserve">so, the </w:t>
      </w:r>
      <w:r w:rsidRPr="00F637B9">
        <w:t>Workplace Issue Manager</w:t>
      </w:r>
      <w:r>
        <w:t xml:space="preserve"> will refer the matter accordingly; </w:t>
      </w:r>
    </w:p>
    <w:p w:rsidR="00A133E0" w:rsidRPr="002F4EAA" w:rsidRDefault="00A133E0" w:rsidP="00782C8E">
      <w:pPr>
        <w:pStyle w:val="ListParagraph"/>
        <w:numPr>
          <w:ilvl w:val="0"/>
          <w:numId w:val="12"/>
        </w:numPr>
        <w:spacing w:after="120" w:line="240" w:lineRule="auto"/>
        <w:contextualSpacing w:val="0"/>
      </w:pPr>
      <w:r>
        <w:t>A referral needs to be managed by an external party;</w:t>
      </w:r>
      <w:r w:rsidR="005118B5">
        <w:t xml:space="preserve"> and</w:t>
      </w:r>
      <w:r w:rsidR="005E509F">
        <w:t>/or</w:t>
      </w:r>
    </w:p>
    <w:p w:rsidR="00D40E7E" w:rsidRPr="00A51C64" w:rsidRDefault="00D40E7E" w:rsidP="00782C8E">
      <w:pPr>
        <w:pStyle w:val="ListParagraph"/>
        <w:numPr>
          <w:ilvl w:val="0"/>
          <w:numId w:val="12"/>
        </w:numPr>
        <w:spacing w:after="120" w:line="240" w:lineRule="auto"/>
        <w:contextualSpacing w:val="0"/>
      </w:pPr>
      <w:r>
        <w:t>The issue may be vexatious</w:t>
      </w:r>
      <w:r w:rsidR="002F5E72">
        <w:t xml:space="preserve"> or knowingly false.  I</w:t>
      </w:r>
      <w:r>
        <w:t xml:space="preserve">f so, the </w:t>
      </w:r>
      <w:r w:rsidRPr="00F637B9">
        <w:t>Workplace Issue Manager</w:t>
      </w:r>
      <w:r>
        <w:t xml:space="preserve"> will refer the matter accordingly.</w:t>
      </w:r>
    </w:p>
    <w:p w:rsidR="00D40E7E" w:rsidRPr="00AE0735" w:rsidRDefault="00D40E7E" w:rsidP="00D40E7E">
      <w:r w:rsidRPr="00AE0735">
        <w:t xml:space="preserve"> The Workplace Issue Manager will</w:t>
      </w:r>
      <w:r>
        <w:t>:</w:t>
      </w:r>
      <w:r w:rsidRPr="00AE0735">
        <w:t xml:space="preserve"> </w:t>
      </w:r>
    </w:p>
    <w:p w:rsidR="00D40E7E" w:rsidRDefault="00CC115F" w:rsidP="00782C8E">
      <w:pPr>
        <w:pStyle w:val="ListParagraph"/>
        <w:numPr>
          <w:ilvl w:val="0"/>
          <w:numId w:val="13"/>
        </w:numPr>
        <w:spacing w:after="120" w:line="240" w:lineRule="auto"/>
        <w:contextualSpacing w:val="0"/>
      </w:pPr>
      <w:r>
        <w:t>Coordinate and m</w:t>
      </w:r>
      <w:r w:rsidR="00D40E7E" w:rsidRPr="00255415">
        <w:t>onitor the progress of the resolution process</w:t>
      </w:r>
      <w:r w:rsidR="00D40E7E">
        <w:t>;</w:t>
      </w:r>
    </w:p>
    <w:p w:rsidR="00D40E7E" w:rsidRDefault="00D40E7E" w:rsidP="00782C8E">
      <w:pPr>
        <w:pStyle w:val="ListParagraph"/>
        <w:numPr>
          <w:ilvl w:val="0"/>
          <w:numId w:val="13"/>
        </w:numPr>
        <w:spacing w:after="120" w:line="240" w:lineRule="auto"/>
        <w:contextualSpacing w:val="0"/>
      </w:pPr>
      <w:r>
        <w:t xml:space="preserve">Take </w:t>
      </w:r>
      <w:r w:rsidR="00CC115F">
        <w:t>action</w:t>
      </w:r>
      <w:r>
        <w:t xml:space="preserve"> to keep </w:t>
      </w:r>
      <w:r w:rsidR="00CC115F">
        <w:t xml:space="preserve">the process </w:t>
      </w:r>
      <w:r>
        <w:t>on track;</w:t>
      </w:r>
    </w:p>
    <w:p w:rsidR="00D40E7E" w:rsidRDefault="00D40E7E" w:rsidP="00782C8E">
      <w:pPr>
        <w:pStyle w:val="ListParagraph"/>
        <w:numPr>
          <w:ilvl w:val="0"/>
          <w:numId w:val="13"/>
        </w:numPr>
        <w:spacing w:after="120" w:line="240" w:lineRule="auto"/>
        <w:contextualSpacing w:val="0"/>
      </w:pPr>
      <w:r>
        <w:t>Make decisions as necessary if the resolution process breaks down;</w:t>
      </w:r>
    </w:p>
    <w:p w:rsidR="00D40E7E" w:rsidRDefault="00D40E7E" w:rsidP="00782C8E">
      <w:pPr>
        <w:pStyle w:val="ListParagraph"/>
        <w:numPr>
          <w:ilvl w:val="0"/>
          <w:numId w:val="13"/>
        </w:numPr>
        <w:spacing w:after="120" w:line="240" w:lineRule="auto"/>
        <w:contextualSpacing w:val="0"/>
      </w:pPr>
      <w:r>
        <w:t xml:space="preserve">Consult with </w:t>
      </w:r>
      <w:r w:rsidR="005E509F">
        <w:t>supervisors</w:t>
      </w:r>
      <w:r>
        <w:t xml:space="preserve"> as required</w:t>
      </w:r>
      <w:r w:rsidRPr="00255415">
        <w:t xml:space="preserve"> in </w:t>
      </w:r>
      <w:r>
        <w:t>Table 1</w:t>
      </w:r>
      <w:r w:rsidRPr="00255415">
        <w:t xml:space="preserve"> </w:t>
      </w:r>
      <w:r>
        <w:t xml:space="preserve">and keep them informed; </w:t>
      </w:r>
      <w:r w:rsidR="00387288">
        <w:t>and</w:t>
      </w:r>
    </w:p>
    <w:p w:rsidR="00D40E7E" w:rsidRDefault="00D40E7E" w:rsidP="00782C8E">
      <w:pPr>
        <w:pStyle w:val="ListParagraph"/>
        <w:numPr>
          <w:ilvl w:val="0"/>
          <w:numId w:val="13"/>
        </w:numPr>
        <w:spacing w:after="120" w:line="240" w:lineRule="auto"/>
        <w:contextualSpacing w:val="0"/>
      </w:pPr>
      <w:r>
        <w:t xml:space="preserve">Inform all parties when the matter is resolved and update the </w:t>
      </w:r>
      <w:r w:rsidR="00A164A9">
        <w:t>Complaint Handling System</w:t>
      </w:r>
      <w:r>
        <w:t xml:space="preserve"> accordingly</w:t>
      </w:r>
      <w:r w:rsidRPr="00255415">
        <w:t xml:space="preserve">. </w:t>
      </w:r>
    </w:p>
    <w:p w:rsidR="00B70188" w:rsidRPr="005F3F5B" w:rsidRDefault="00B70188" w:rsidP="005F3F5B">
      <w:pPr>
        <w:pStyle w:val="Heading2"/>
        <w:ind w:left="357" w:hanging="357"/>
        <w:rPr>
          <w:sz w:val="28"/>
          <w:szCs w:val="28"/>
        </w:rPr>
      </w:pPr>
      <w:bookmarkStart w:id="9" w:name="_Toc166414"/>
      <w:r w:rsidRPr="005F3F5B">
        <w:rPr>
          <w:sz w:val="28"/>
          <w:szCs w:val="28"/>
        </w:rPr>
        <w:t>Escalation of Workplace Issues</w:t>
      </w:r>
      <w:bookmarkEnd w:id="9"/>
      <w:r w:rsidR="00350E4B" w:rsidRPr="005F3F5B">
        <w:rPr>
          <w:sz w:val="28"/>
          <w:szCs w:val="28"/>
        </w:rPr>
        <w:t xml:space="preserve"> </w:t>
      </w:r>
    </w:p>
    <w:p w:rsidR="00350E4B" w:rsidRDefault="00350E4B" w:rsidP="00B70188">
      <w:r w:rsidRPr="00F637B9">
        <w:t xml:space="preserve">If the issue is not resolved to the complainant’s satisfaction at the local level </w:t>
      </w:r>
      <w:r>
        <w:t>or</w:t>
      </w:r>
      <w:r w:rsidRPr="00F637B9">
        <w:t xml:space="preserve"> the complainant feels unable to approach their supervisor or supervisor’s manager, the complainant may </w:t>
      </w:r>
      <w:r w:rsidR="00B70188">
        <w:t>escalate</w:t>
      </w:r>
      <w:r w:rsidRPr="00F637B9">
        <w:t xml:space="preserve"> the workplace issue </w:t>
      </w:r>
      <w:r w:rsidR="00B70188">
        <w:t xml:space="preserve">to the </w:t>
      </w:r>
      <w:r>
        <w:t xml:space="preserve">Executive Director, </w:t>
      </w:r>
      <w:r w:rsidR="0097259C">
        <w:t>Corporate Services</w:t>
      </w:r>
      <w:r w:rsidR="00B70188">
        <w:t>. This can be done by email.</w:t>
      </w:r>
    </w:p>
    <w:p w:rsidR="0091276B" w:rsidRDefault="0091276B" w:rsidP="00B70188">
      <w:r>
        <w:t xml:space="preserve">All workplace issues rated as </w:t>
      </w:r>
      <w:r w:rsidR="004B1DA0">
        <w:t>h</w:t>
      </w:r>
      <w:r w:rsidR="00C20238">
        <w:t>igh</w:t>
      </w:r>
      <w:r>
        <w:t xml:space="preserve"> </w:t>
      </w:r>
      <w:r w:rsidR="00387288">
        <w:t xml:space="preserve">risk </w:t>
      </w:r>
      <w:r>
        <w:t xml:space="preserve">using the Risk Assessment </w:t>
      </w:r>
      <w:r w:rsidR="005E509F">
        <w:t>in Table 1</w:t>
      </w:r>
      <w:r>
        <w:t xml:space="preserve">, are to be escalated to the Executive Director, Corporate Services by the Workplace Issue </w:t>
      </w:r>
      <w:r w:rsidR="00387288">
        <w:t>M</w:t>
      </w:r>
      <w:r>
        <w:t>anager.</w:t>
      </w:r>
    </w:p>
    <w:p w:rsidR="0091276B" w:rsidRDefault="0091276B" w:rsidP="00B70188">
      <w:r>
        <w:lastRenderedPageBreak/>
        <w:t>Where a matter has been escalated to the Executive Director</w:t>
      </w:r>
      <w:r w:rsidR="00387288">
        <w:t>,</w:t>
      </w:r>
      <w:r>
        <w:t xml:space="preserve"> Corporate Services, the Executive Director will identify a Delegate to oversee the matter and inform the </w:t>
      </w:r>
      <w:r w:rsidR="00387288">
        <w:t>complainant</w:t>
      </w:r>
      <w:r>
        <w:t xml:space="preserve"> and </w:t>
      </w:r>
      <w:r w:rsidR="001427EE">
        <w:t>W</w:t>
      </w:r>
      <w:r>
        <w:t xml:space="preserve">orkplace </w:t>
      </w:r>
      <w:r w:rsidR="001427EE">
        <w:t>I</w:t>
      </w:r>
      <w:r>
        <w:t xml:space="preserve">ssue </w:t>
      </w:r>
      <w:r w:rsidR="001427EE">
        <w:t>M</w:t>
      </w:r>
      <w:r>
        <w:t>anager.</w:t>
      </w:r>
    </w:p>
    <w:p w:rsidR="0091276B" w:rsidRDefault="0091276B" w:rsidP="00B70188">
      <w:r>
        <w:t xml:space="preserve">The Delegate will determine if a Preliminary Assessment </w:t>
      </w:r>
      <w:r w:rsidR="00C20238">
        <w:t xml:space="preserve">(refer Enterprise Agreements) </w:t>
      </w:r>
      <w:r>
        <w:t>of the issue is warranted. The Delegate may refer the matter to be investigated by an external part</w:t>
      </w:r>
      <w:r w:rsidR="00C20238">
        <w:t>y</w:t>
      </w:r>
      <w:r>
        <w:t xml:space="preserve"> to CIT, including the </w:t>
      </w:r>
      <w:r w:rsidR="009531AF">
        <w:t>ACT Government’s Professional Standards Unit.</w:t>
      </w:r>
    </w:p>
    <w:p w:rsidR="000C39B4" w:rsidRPr="005F3F5B" w:rsidRDefault="000C39B4" w:rsidP="005F3F5B">
      <w:pPr>
        <w:pStyle w:val="Heading2"/>
        <w:ind w:left="357" w:hanging="357"/>
        <w:rPr>
          <w:sz w:val="28"/>
          <w:szCs w:val="28"/>
        </w:rPr>
      </w:pPr>
      <w:bookmarkStart w:id="10" w:name="_Toc166415"/>
      <w:r w:rsidRPr="005F3F5B">
        <w:rPr>
          <w:sz w:val="28"/>
          <w:szCs w:val="28"/>
        </w:rPr>
        <w:t>Appeal</w:t>
      </w:r>
      <w:bookmarkEnd w:id="10"/>
    </w:p>
    <w:p w:rsidR="000C39B4" w:rsidRDefault="000C39B4" w:rsidP="000C39B4">
      <w:r>
        <w:t xml:space="preserve">The complainant or respondent </w:t>
      </w:r>
      <w:r w:rsidRPr="003A4998">
        <w:t>may have a right to an internal review</w:t>
      </w:r>
      <w:r>
        <w:t xml:space="preserve"> of a decision or action taken in relating to a workplace issue</w:t>
      </w:r>
      <w:r w:rsidRPr="003A4998">
        <w:t>. Some exclusions apply as stated in the relevant Enterprise Agreement</w:t>
      </w:r>
      <w:r w:rsidR="00387288">
        <w:t>s</w:t>
      </w:r>
      <w:r w:rsidRPr="003A4998">
        <w:t xml:space="preserve"> (Section I General Staff Agreement, Section N Teaching Staff Agreement). Internal reviews of workplace issue management processes should be made </w:t>
      </w:r>
      <w:r>
        <w:t xml:space="preserve">by emailing </w:t>
      </w:r>
      <w:r w:rsidRPr="003A4998">
        <w:t xml:space="preserve">the Chief Executive. </w:t>
      </w:r>
    </w:p>
    <w:p w:rsidR="000C39B4" w:rsidRDefault="000C39B4" w:rsidP="000C39B4">
      <w:r w:rsidRPr="003A4998">
        <w:t xml:space="preserve">If </w:t>
      </w:r>
      <w:r>
        <w:t>the complainant or respondent is</w:t>
      </w:r>
      <w:r w:rsidRPr="003A4998">
        <w:t xml:space="preserve"> not satisfied </w:t>
      </w:r>
      <w:r>
        <w:t xml:space="preserve">with </w:t>
      </w:r>
      <w:r w:rsidRPr="003A4998">
        <w:t xml:space="preserve">the </w:t>
      </w:r>
      <w:r>
        <w:t xml:space="preserve">outcome of the </w:t>
      </w:r>
      <w:r w:rsidRPr="003A4998">
        <w:t>workplace issue resolution process</w:t>
      </w:r>
      <w:r w:rsidR="005E509F">
        <w:t>,</w:t>
      </w:r>
      <w:r w:rsidRPr="003A4998">
        <w:t xml:space="preserve"> </w:t>
      </w:r>
      <w:r>
        <w:t>there may be</w:t>
      </w:r>
      <w:r w:rsidRPr="003A4998">
        <w:t xml:space="preserve"> grounds for further action or complaint. A list of possible avenues for external review is provided </w:t>
      </w:r>
      <w:r>
        <w:t>below</w:t>
      </w:r>
      <w:r w:rsidRPr="003A4998">
        <w:t xml:space="preserve">. </w:t>
      </w:r>
    </w:p>
    <w:p w:rsidR="000C39B4" w:rsidRPr="000C39B4" w:rsidRDefault="000C39B4" w:rsidP="000C39B4">
      <w:pPr>
        <w:spacing w:after="0"/>
        <w:ind w:left="284"/>
        <w:rPr>
          <w:b/>
        </w:rPr>
      </w:pPr>
      <w:r w:rsidRPr="000C39B4">
        <w:rPr>
          <w:b/>
        </w:rPr>
        <w:t xml:space="preserve">The ACT Ombudsman </w:t>
      </w:r>
    </w:p>
    <w:p w:rsidR="00AE2410" w:rsidRDefault="000C39B4" w:rsidP="00AE2410">
      <w:pPr>
        <w:spacing w:before="0" w:after="0"/>
        <w:ind w:left="284"/>
      </w:pPr>
      <w:r w:rsidRPr="006B1532">
        <w:t>Street Address: Level 5, Childers Square, 14 Childers Street, Canberra</w:t>
      </w:r>
    </w:p>
    <w:p w:rsidR="00AE2410" w:rsidRDefault="00AE2410" w:rsidP="00AE2410">
      <w:pPr>
        <w:spacing w:before="0" w:after="0"/>
        <w:ind w:left="284"/>
      </w:pPr>
      <w:r w:rsidRPr="006B1532">
        <w:t>Postal Address: GPO Box 442 Canberra ACT 2601</w:t>
      </w:r>
    </w:p>
    <w:p w:rsidR="000C39B4" w:rsidRDefault="000C39B4" w:rsidP="000C39B4">
      <w:pPr>
        <w:spacing w:before="0"/>
        <w:ind w:left="284"/>
        <w:rPr>
          <w:rStyle w:val="Hyperlink"/>
        </w:rPr>
      </w:pPr>
      <w:r w:rsidRPr="006B1532">
        <w:t>Complaints Ph</w:t>
      </w:r>
      <w:r>
        <w:t>:</w:t>
      </w:r>
      <w:r w:rsidRPr="006B1532">
        <w:t xml:space="preserve"> 1300 362 072</w:t>
      </w:r>
      <w:r>
        <w:br/>
      </w:r>
      <w:r w:rsidRPr="006B1532">
        <w:t>Fax: (02) 6276 0123</w:t>
      </w:r>
      <w:r>
        <w:br/>
      </w:r>
      <w:r w:rsidRPr="006B1532">
        <w:t xml:space="preserve">Email: </w:t>
      </w:r>
      <w:hyperlink r:id="rId9" w:history="1">
        <w:r w:rsidRPr="006B1532">
          <w:rPr>
            <w:rStyle w:val="Hyperlink"/>
          </w:rPr>
          <w:t>ombudsman@ombudsman.gov.au</w:t>
        </w:r>
      </w:hyperlink>
      <w:r>
        <w:rPr>
          <w:rStyle w:val="Hyperlink"/>
        </w:rPr>
        <w:br/>
      </w:r>
      <w:r w:rsidRPr="006B1532">
        <w:t xml:space="preserve">Web: </w:t>
      </w:r>
      <w:hyperlink r:id="rId10" w:history="1">
        <w:r w:rsidRPr="006B1532">
          <w:rPr>
            <w:rStyle w:val="Hyperlink"/>
          </w:rPr>
          <w:t>http://www.ombudsman.act.gov.au</w:t>
        </w:r>
      </w:hyperlink>
    </w:p>
    <w:p w:rsidR="000C39B4" w:rsidRPr="000C39B4" w:rsidRDefault="000C39B4" w:rsidP="000C39B4">
      <w:pPr>
        <w:spacing w:before="240" w:after="0"/>
        <w:ind w:left="284"/>
        <w:rPr>
          <w:b/>
        </w:rPr>
      </w:pPr>
      <w:r w:rsidRPr="000C39B4">
        <w:rPr>
          <w:b/>
        </w:rPr>
        <w:t xml:space="preserve">ACT Human Rights Commission </w:t>
      </w:r>
    </w:p>
    <w:p w:rsidR="000C39B4" w:rsidRPr="006B1532" w:rsidRDefault="000C39B4" w:rsidP="000C39B4">
      <w:pPr>
        <w:spacing w:before="0" w:after="40"/>
        <w:ind w:left="284"/>
      </w:pPr>
      <w:r>
        <w:t xml:space="preserve">Street Address: </w:t>
      </w:r>
      <w:r w:rsidRPr="008D572C">
        <w:t>Level 4, 12 Moore St</w:t>
      </w:r>
      <w:r w:rsidR="00387288">
        <w:t>,</w:t>
      </w:r>
      <w:r w:rsidRPr="008D572C">
        <w:t xml:space="preserve"> Canberra  </w:t>
      </w:r>
      <w:r>
        <w:br/>
      </w:r>
      <w:r w:rsidRPr="006B1532">
        <w:t xml:space="preserve">Postal </w:t>
      </w:r>
      <w:r w:rsidR="00AE2410">
        <w:t>A</w:t>
      </w:r>
      <w:r w:rsidRPr="006B1532">
        <w:t>ddress: GPO Box 158 Canberra ACT 2601</w:t>
      </w:r>
      <w:r>
        <w:br/>
      </w:r>
      <w:r w:rsidRPr="006B1532">
        <w:t>Ph: (02) 6205 2222</w:t>
      </w:r>
      <w:r>
        <w:br/>
      </w:r>
      <w:r w:rsidRPr="006B1532">
        <w:t>Fax: (02) 6207 1034</w:t>
      </w:r>
      <w:r>
        <w:br/>
      </w:r>
      <w:r w:rsidRPr="006B1532">
        <w:t xml:space="preserve">Email: </w:t>
      </w:r>
      <w:hyperlink r:id="rId11" w:history="1">
        <w:r w:rsidRPr="006B1532">
          <w:rPr>
            <w:rStyle w:val="Hyperlink"/>
          </w:rPr>
          <w:t>human.rights@act.gov.au</w:t>
        </w:r>
      </w:hyperlink>
      <w:r>
        <w:rPr>
          <w:rStyle w:val="Hyperlink"/>
        </w:rPr>
        <w:br/>
      </w:r>
      <w:r w:rsidRPr="006B1532">
        <w:t xml:space="preserve">Web: </w:t>
      </w:r>
      <w:hyperlink r:id="rId12" w:history="1">
        <w:r w:rsidRPr="006B1532">
          <w:rPr>
            <w:rStyle w:val="Hyperlink"/>
          </w:rPr>
          <w:t>http://www.hrc.act.gov.au</w:t>
        </w:r>
      </w:hyperlink>
    </w:p>
    <w:p w:rsidR="000C39B4" w:rsidRPr="000C39B4" w:rsidRDefault="000C39B4" w:rsidP="000C39B4">
      <w:pPr>
        <w:spacing w:before="0"/>
        <w:ind w:left="284"/>
        <w:rPr>
          <w:i/>
        </w:rPr>
      </w:pPr>
      <w:r w:rsidRPr="000C39B4">
        <w:rPr>
          <w:i/>
        </w:rPr>
        <w:t>(A Complaint form is available on the website)</w:t>
      </w:r>
    </w:p>
    <w:p w:rsidR="000C39B4" w:rsidRDefault="000C39B4" w:rsidP="000C39B4">
      <w:pPr>
        <w:spacing w:before="240" w:after="0"/>
        <w:ind w:left="284"/>
      </w:pPr>
      <w:r w:rsidRPr="00C26902">
        <w:rPr>
          <w:b/>
        </w:rPr>
        <w:t>The ACT Civil and Administrative Tribunal (ACAT)</w:t>
      </w:r>
      <w:r w:rsidRPr="006B1532">
        <w:br/>
      </w:r>
      <w:r w:rsidR="00AE2410">
        <w:t xml:space="preserve">Postal address: </w:t>
      </w:r>
      <w:r w:rsidRPr="006B1532">
        <w:t>GPO Box 370</w:t>
      </w:r>
      <w:r w:rsidR="00AE2410">
        <w:t xml:space="preserve"> Canberra</w:t>
      </w:r>
      <w:r w:rsidRPr="006B1532">
        <w:t xml:space="preserve">  ACT 2601</w:t>
      </w:r>
      <w:r w:rsidRPr="006B1532">
        <w:br/>
        <w:t xml:space="preserve">Ph:  </w:t>
      </w:r>
      <w:r w:rsidR="00AE2410">
        <w:t xml:space="preserve">(02) </w:t>
      </w:r>
      <w:r w:rsidRPr="006B1532">
        <w:t>6207 1740</w:t>
      </w:r>
    </w:p>
    <w:p w:rsidR="00350E4B" w:rsidRPr="005F3F5B" w:rsidRDefault="00350E4B" w:rsidP="005F3F5B">
      <w:pPr>
        <w:pStyle w:val="Heading2"/>
        <w:ind w:left="357" w:hanging="357"/>
        <w:rPr>
          <w:sz w:val="28"/>
          <w:szCs w:val="28"/>
        </w:rPr>
      </w:pPr>
      <w:r>
        <w:t xml:space="preserve"> </w:t>
      </w:r>
      <w:bookmarkStart w:id="11" w:name="_Toc166416"/>
      <w:r w:rsidRPr="005F3F5B">
        <w:rPr>
          <w:sz w:val="28"/>
          <w:szCs w:val="28"/>
        </w:rPr>
        <w:t>Timeframe for workplace issue management</w:t>
      </w:r>
      <w:bookmarkEnd w:id="11"/>
    </w:p>
    <w:p w:rsidR="00350E4B" w:rsidRPr="00AE0735" w:rsidRDefault="00350E4B" w:rsidP="00D40E7E">
      <w:r w:rsidRPr="00AE0735">
        <w:t xml:space="preserve">CIT is committed to providing a timely resolution to all workplace issues.  </w:t>
      </w:r>
      <w:r w:rsidR="005E509F">
        <w:t>Supervisors</w:t>
      </w:r>
      <w:r w:rsidR="00D40E7E">
        <w:t xml:space="preserve"> should ensure workplace issues are handled as quickly as possible. </w:t>
      </w:r>
      <w:r w:rsidR="00ED4F6A">
        <w:t xml:space="preserve">However, where matters require investigation, </w:t>
      </w:r>
      <w:r w:rsidR="00D40E7E">
        <w:t>delays</w:t>
      </w:r>
      <w:r w:rsidR="004106E7">
        <w:t xml:space="preserve"> can occur particularly during the </w:t>
      </w:r>
      <w:r w:rsidR="00D40E7E">
        <w:t xml:space="preserve">information </w:t>
      </w:r>
      <w:r w:rsidR="004106E7">
        <w:t xml:space="preserve">collection phase. The Workplace Issue Manager or </w:t>
      </w:r>
      <w:r w:rsidR="000C39B4">
        <w:t>Delegate</w:t>
      </w:r>
      <w:r w:rsidR="004106E7">
        <w:t xml:space="preserve"> should keep all parties regularly informed of </w:t>
      </w:r>
      <w:r w:rsidR="005F3F5B">
        <w:t>the progress</w:t>
      </w:r>
      <w:r w:rsidR="004106E7">
        <w:t>.</w:t>
      </w:r>
    </w:p>
    <w:p w:rsidR="00350E4B" w:rsidRPr="005F3F5B" w:rsidRDefault="00350E4B" w:rsidP="005F3F5B">
      <w:pPr>
        <w:pStyle w:val="Heading2"/>
        <w:ind w:left="357" w:hanging="357"/>
        <w:rPr>
          <w:sz w:val="28"/>
          <w:szCs w:val="28"/>
        </w:rPr>
      </w:pPr>
      <w:r>
        <w:t xml:space="preserve"> </w:t>
      </w:r>
      <w:bookmarkStart w:id="12" w:name="_Toc166417"/>
      <w:r w:rsidRPr="005F3F5B">
        <w:rPr>
          <w:sz w:val="28"/>
          <w:szCs w:val="28"/>
        </w:rPr>
        <w:t>Record keeping</w:t>
      </w:r>
      <w:bookmarkEnd w:id="12"/>
      <w:r w:rsidRPr="005F3F5B">
        <w:rPr>
          <w:sz w:val="28"/>
          <w:szCs w:val="28"/>
        </w:rPr>
        <w:t xml:space="preserve"> </w:t>
      </w:r>
    </w:p>
    <w:p w:rsidR="00350E4B" w:rsidRPr="00027CB2" w:rsidRDefault="00350E4B" w:rsidP="004106E7">
      <w:r w:rsidRPr="00027CB2">
        <w:t>Written records of outcomes, agreements and actions are to be kept for all workplace issues</w:t>
      </w:r>
      <w:r>
        <w:t xml:space="preserve"> of </w:t>
      </w:r>
      <w:r w:rsidR="00387288">
        <w:t>m</w:t>
      </w:r>
      <w:r>
        <w:t xml:space="preserve">edium or </w:t>
      </w:r>
      <w:r w:rsidR="00387288">
        <w:t>h</w:t>
      </w:r>
      <w:r>
        <w:t>igh risk</w:t>
      </w:r>
      <w:r w:rsidRPr="00027CB2">
        <w:t xml:space="preserve">. A record should be made of all meetings detailing who was present and the agreed outcomes. The Workplace Issue Manager can utilise a support person to take notes and </w:t>
      </w:r>
      <w:r w:rsidR="00387288">
        <w:t xml:space="preserve">to </w:t>
      </w:r>
      <w:r w:rsidRPr="00027CB2">
        <w:t>assist with this process</w:t>
      </w:r>
      <w:r w:rsidR="006E71DA">
        <w:t xml:space="preserve"> with the approval of the complainant</w:t>
      </w:r>
      <w:r w:rsidRPr="00027CB2">
        <w:t>.</w:t>
      </w:r>
    </w:p>
    <w:p w:rsidR="00350E4B" w:rsidRPr="00027CB2" w:rsidRDefault="00350E4B" w:rsidP="00782C8E">
      <w:pPr>
        <w:pStyle w:val="ListParagraph"/>
        <w:numPr>
          <w:ilvl w:val="0"/>
          <w:numId w:val="14"/>
        </w:numPr>
        <w:spacing w:after="120" w:line="240" w:lineRule="auto"/>
        <w:contextualSpacing w:val="0"/>
      </w:pPr>
      <w:r w:rsidRPr="00027CB2">
        <w:lastRenderedPageBreak/>
        <w:t xml:space="preserve">Records of the handling of a workplace issue and the outcomes will be kept in a </w:t>
      </w:r>
      <w:r>
        <w:t xml:space="preserve">secure </w:t>
      </w:r>
      <w:r w:rsidRPr="00027CB2">
        <w:t xml:space="preserve">confidential CIT </w:t>
      </w:r>
      <w:r w:rsidR="00CC115F">
        <w:t>file</w:t>
      </w:r>
      <w:r w:rsidRPr="00027CB2">
        <w:t xml:space="preserve"> by the </w:t>
      </w:r>
      <w:r w:rsidR="0097259C">
        <w:t>Senior Director, Human Resources and Organisational Development</w:t>
      </w:r>
      <w:r w:rsidR="004106E7">
        <w:t xml:space="preserve"> </w:t>
      </w:r>
      <w:r>
        <w:t xml:space="preserve">as required by the </w:t>
      </w:r>
      <w:r w:rsidRPr="005F3F5B">
        <w:rPr>
          <w:i/>
        </w:rPr>
        <w:t>Territory Records Act 2002</w:t>
      </w:r>
      <w:r w:rsidRPr="00027CB2">
        <w:t xml:space="preserve">. </w:t>
      </w:r>
    </w:p>
    <w:p w:rsidR="00350E4B" w:rsidRPr="00027CB2" w:rsidRDefault="005F3F5B" w:rsidP="00782C8E">
      <w:pPr>
        <w:pStyle w:val="ListParagraph"/>
        <w:numPr>
          <w:ilvl w:val="0"/>
          <w:numId w:val="14"/>
        </w:numPr>
        <w:spacing w:after="120" w:line="240" w:lineRule="auto"/>
        <w:contextualSpacing w:val="0"/>
      </w:pPr>
      <w:r>
        <w:t>A</w:t>
      </w:r>
      <w:r w:rsidR="00747C79">
        <w:t>n a</w:t>
      </w:r>
      <w:r>
        <w:t>ppropriately trained user of the C</w:t>
      </w:r>
      <w:r w:rsidR="00387288">
        <w:t>omplaint Handling System</w:t>
      </w:r>
      <w:r>
        <w:t xml:space="preserve"> in </w:t>
      </w:r>
      <w:r w:rsidR="00747C79">
        <w:t xml:space="preserve">the business unit of the Workplace Issue Manager </w:t>
      </w:r>
      <w:r>
        <w:t>will maintain a</w:t>
      </w:r>
      <w:r w:rsidR="00350E4B">
        <w:t>n electronic register</w:t>
      </w:r>
      <w:r>
        <w:t xml:space="preserve"> using </w:t>
      </w:r>
      <w:r w:rsidR="00387288">
        <w:t>Complaint Handling System</w:t>
      </w:r>
      <w:r w:rsidR="00350E4B">
        <w:t xml:space="preserve"> </w:t>
      </w:r>
      <w:r w:rsidR="00350E4B" w:rsidRPr="00027CB2">
        <w:t xml:space="preserve">for all workplace issues </w:t>
      </w:r>
      <w:r w:rsidR="00350E4B">
        <w:t>of medium or high risk</w:t>
      </w:r>
      <w:r w:rsidR="00350E4B" w:rsidRPr="00027CB2">
        <w:t>. The register should include:</w:t>
      </w:r>
    </w:p>
    <w:p w:rsidR="00350E4B" w:rsidRPr="00027CB2" w:rsidRDefault="004B1DA0" w:rsidP="00782C8E">
      <w:pPr>
        <w:pStyle w:val="ListParagraph"/>
        <w:numPr>
          <w:ilvl w:val="0"/>
          <w:numId w:val="15"/>
        </w:numPr>
        <w:spacing w:after="120" w:line="240" w:lineRule="auto"/>
        <w:contextualSpacing w:val="0"/>
      </w:pPr>
      <w:r>
        <w:t>T</w:t>
      </w:r>
      <w:r w:rsidR="00350E4B" w:rsidRPr="00027CB2">
        <w:t>he nature and outcome of the workplace issue;</w:t>
      </w:r>
    </w:p>
    <w:p w:rsidR="00350E4B" w:rsidRPr="00027CB2" w:rsidRDefault="004B1DA0" w:rsidP="00782C8E">
      <w:pPr>
        <w:pStyle w:val="ListParagraph"/>
        <w:numPr>
          <w:ilvl w:val="0"/>
          <w:numId w:val="15"/>
        </w:numPr>
        <w:spacing w:after="120" w:line="240" w:lineRule="auto"/>
        <w:contextualSpacing w:val="0"/>
      </w:pPr>
      <w:r>
        <w:t>T</w:t>
      </w:r>
      <w:r w:rsidR="00350E4B" w:rsidRPr="00027CB2">
        <w:t xml:space="preserve">he risk assessment of the workplace issue; and </w:t>
      </w:r>
    </w:p>
    <w:p w:rsidR="00350E4B" w:rsidRDefault="004B1DA0" w:rsidP="00782C8E">
      <w:pPr>
        <w:pStyle w:val="ListParagraph"/>
        <w:numPr>
          <w:ilvl w:val="0"/>
          <w:numId w:val="15"/>
        </w:numPr>
        <w:spacing w:after="120" w:line="240" w:lineRule="auto"/>
        <w:contextualSpacing w:val="0"/>
      </w:pPr>
      <w:r>
        <w:t>A</w:t>
      </w:r>
      <w:r w:rsidR="00350E4B" w:rsidRPr="00027CB2">
        <w:t xml:space="preserve"> cross reference to the confidential CIT files where documents and information pertaining to the workplace issue are stored. </w:t>
      </w:r>
    </w:p>
    <w:p w:rsidR="00350E4B" w:rsidRPr="005F3F5B" w:rsidRDefault="004106E7" w:rsidP="005F3F5B">
      <w:pPr>
        <w:pStyle w:val="Heading2"/>
        <w:ind w:left="357" w:hanging="357"/>
        <w:rPr>
          <w:sz w:val="28"/>
          <w:szCs w:val="28"/>
        </w:rPr>
      </w:pPr>
      <w:bookmarkStart w:id="13" w:name="_Toc166418"/>
      <w:r w:rsidRPr="005F3F5B">
        <w:rPr>
          <w:sz w:val="28"/>
          <w:szCs w:val="28"/>
        </w:rPr>
        <w:t>Finalisation of workplace issue</w:t>
      </w:r>
      <w:bookmarkEnd w:id="13"/>
    </w:p>
    <w:p w:rsidR="00350E4B" w:rsidRDefault="00350E4B" w:rsidP="004106E7">
      <w:r w:rsidRPr="00027CB2">
        <w:t xml:space="preserve">The </w:t>
      </w:r>
      <w:r>
        <w:t>Workplace Issues Manager</w:t>
      </w:r>
      <w:r w:rsidRPr="00027CB2">
        <w:t xml:space="preserve"> will provide written notification to </w:t>
      </w:r>
      <w:r>
        <w:t>the relevant parties</w:t>
      </w:r>
      <w:r w:rsidRPr="00027CB2">
        <w:t xml:space="preserve"> when the workplace issue has been finalised. </w:t>
      </w:r>
      <w:r w:rsidRPr="00FE5383">
        <w:rPr>
          <w:rFonts w:cstheme="minorHAnsi"/>
        </w:rPr>
        <w:t>T</w:t>
      </w:r>
      <w:r>
        <w:rPr>
          <w:rFonts w:cstheme="minorHAnsi"/>
        </w:rPr>
        <w:t>he</w:t>
      </w:r>
      <w:r w:rsidRPr="00FE5383">
        <w:rPr>
          <w:rFonts w:cstheme="minorHAnsi"/>
        </w:rPr>
        <w:t xml:space="preserve"> </w:t>
      </w:r>
      <w:r w:rsidR="00387288">
        <w:rPr>
          <w:rFonts w:cstheme="minorHAnsi"/>
        </w:rPr>
        <w:t>Complaint Handling System</w:t>
      </w:r>
      <w:r w:rsidRPr="00FE5383">
        <w:rPr>
          <w:rFonts w:cstheme="minorHAnsi"/>
        </w:rPr>
        <w:t xml:space="preserve"> and CIT file will be updated accordingly.</w:t>
      </w:r>
      <w:r w:rsidRPr="00027CB2">
        <w:t xml:space="preserve"> Feedback on the outcome of the workplace issue can only be provided in general terms to the complainant and will not include specifics on sanctions or outcomes of </w:t>
      </w:r>
      <w:r>
        <w:t>a</w:t>
      </w:r>
      <w:r w:rsidR="00564B1C">
        <w:t>ny associated</w:t>
      </w:r>
      <w:r>
        <w:t xml:space="preserve"> process</w:t>
      </w:r>
      <w:r w:rsidR="00564B1C">
        <w:t>es</w:t>
      </w:r>
      <w:r w:rsidRPr="00027CB2">
        <w:t xml:space="preserve">.  </w:t>
      </w:r>
    </w:p>
    <w:p w:rsidR="00350E4B" w:rsidRDefault="00350E4B" w:rsidP="00066BA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6660"/>
      </w:tblGrid>
      <w:tr w:rsidR="00350E4B" w:rsidRPr="000C39B4" w:rsidTr="00296854">
        <w:tc>
          <w:tcPr>
            <w:tcW w:w="856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50E4B" w:rsidRPr="000C39B4" w:rsidRDefault="000C39B4" w:rsidP="00296854">
            <w:pPr>
              <w:pStyle w:val="Heading2"/>
              <w:numPr>
                <w:ilvl w:val="0"/>
                <w:numId w:val="0"/>
              </w:numPr>
              <w:spacing w:before="60"/>
            </w:pPr>
            <w:bookmarkStart w:id="14" w:name="_Toc166419"/>
            <w:r>
              <w:lastRenderedPageBreak/>
              <w:t xml:space="preserve">Table 2 - </w:t>
            </w:r>
            <w:r w:rsidR="00350E4B" w:rsidRPr="000C39B4">
              <w:t>Responsibilities of all parties</w:t>
            </w:r>
            <w:bookmarkEnd w:id="14"/>
          </w:p>
        </w:tc>
      </w:tr>
      <w:tr w:rsidR="00350E4B" w:rsidRPr="00027CB2" w:rsidTr="00296854">
        <w:tc>
          <w:tcPr>
            <w:tcW w:w="1908" w:type="dxa"/>
            <w:tcBorders>
              <w:top w:val="single" w:sz="4" w:space="0" w:color="auto"/>
              <w:left w:val="single" w:sz="4" w:space="0" w:color="auto"/>
              <w:bottom w:val="single" w:sz="4" w:space="0" w:color="auto"/>
              <w:right w:val="single" w:sz="4" w:space="0" w:color="auto"/>
            </w:tcBorders>
          </w:tcPr>
          <w:p w:rsidR="00350E4B" w:rsidRPr="00027CB2" w:rsidRDefault="00350E4B" w:rsidP="00066BAB">
            <w:pPr>
              <w:pStyle w:val="BodyText"/>
            </w:pPr>
            <w:r w:rsidRPr="00027CB2">
              <w:t>Complainant</w:t>
            </w:r>
          </w:p>
        </w:tc>
        <w:tc>
          <w:tcPr>
            <w:tcW w:w="6660" w:type="dxa"/>
            <w:tcBorders>
              <w:top w:val="single" w:sz="4" w:space="0" w:color="auto"/>
              <w:left w:val="single" w:sz="4" w:space="0" w:color="auto"/>
              <w:bottom w:val="single" w:sz="4" w:space="0" w:color="auto"/>
              <w:right w:val="single" w:sz="4" w:space="0" w:color="auto"/>
            </w:tcBorders>
          </w:tcPr>
          <w:p w:rsidR="00350E4B" w:rsidRPr="00027CB2" w:rsidRDefault="00350E4B" w:rsidP="00782C8E">
            <w:pPr>
              <w:pStyle w:val="ListParagraph"/>
              <w:numPr>
                <w:ilvl w:val="0"/>
                <w:numId w:val="5"/>
              </w:numPr>
            </w:pPr>
            <w:r>
              <w:t>W</w:t>
            </w:r>
            <w:r w:rsidRPr="00027CB2">
              <w:t>orkplace issue should be made in a reasonable manner free from threats</w:t>
            </w:r>
            <w:r>
              <w:t>.</w:t>
            </w:r>
          </w:p>
          <w:p w:rsidR="00350E4B" w:rsidRPr="00027CB2" w:rsidRDefault="00350E4B" w:rsidP="00782C8E">
            <w:pPr>
              <w:pStyle w:val="ListParagraph"/>
              <w:numPr>
                <w:ilvl w:val="0"/>
                <w:numId w:val="5"/>
              </w:numPr>
            </w:pPr>
            <w:r>
              <w:t>A</w:t>
            </w:r>
            <w:r w:rsidRPr="00027CB2">
              <w:t>ct professionally and respectfully</w:t>
            </w:r>
            <w:r>
              <w:t xml:space="preserve"> in accord with CIT values and signature behaviours.</w:t>
            </w:r>
          </w:p>
          <w:p w:rsidR="00350E4B" w:rsidRPr="00027CB2" w:rsidRDefault="00350E4B" w:rsidP="00782C8E">
            <w:pPr>
              <w:pStyle w:val="ListParagraph"/>
              <w:numPr>
                <w:ilvl w:val="0"/>
                <w:numId w:val="5"/>
              </w:numPr>
            </w:pPr>
            <w:r>
              <w:t>R</w:t>
            </w:r>
            <w:r w:rsidRPr="00027CB2">
              <w:t>ecognise that the respondent has the right to be made aware of the details of the workplace issue and the right to respond in a fair process</w:t>
            </w:r>
            <w:r>
              <w:t>.</w:t>
            </w:r>
          </w:p>
          <w:p w:rsidR="00350E4B" w:rsidRPr="00027CB2" w:rsidRDefault="00350E4B" w:rsidP="00782C8E">
            <w:pPr>
              <w:pStyle w:val="ListParagraph"/>
              <w:numPr>
                <w:ilvl w:val="0"/>
                <w:numId w:val="5"/>
              </w:numPr>
            </w:pPr>
            <w:r>
              <w:t>T</w:t>
            </w:r>
            <w:r w:rsidRPr="00027CB2">
              <w:t>he workplace issue should only be discussed with the parties involved in its resolution, including those who are assisting</w:t>
            </w:r>
            <w:r>
              <w:t>.</w:t>
            </w:r>
          </w:p>
          <w:p w:rsidR="00350E4B" w:rsidRPr="00027CB2" w:rsidRDefault="00350E4B" w:rsidP="00782C8E">
            <w:pPr>
              <w:pStyle w:val="ListParagraph"/>
              <w:numPr>
                <w:ilvl w:val="0"/>
                <w:numId w:val="5"/>
              </w:numPr>
            </w:pPr>
            <w:r>
              <w:t>W</w:t>
            </w:r>
            <w:r w:rsidRPr="00027CB2">
              <w:t>ork constructively towards resolution and participate in the r</w:t>
            </w:r>
            <w:r>
              <w:t>esolution process in good faith.</w:t>
            </w:r>
          </w:p>
        </w:tc>
      </w:tr>
      <w:tr w:rsidR="00350E4B" w:rsidRPr="00027CB2" w:rsidTr="00296854">
        <w:tc>
          <w:tcPr>
            <w:tcW w:w="1908" w:type="dxa"/>
            <w:tcBorders>
              <w:top w:val="single" w:sz="4" w:space="0" w:color="auto"/>
              <w:left w:val="single" w:sz="4" w:space="0" w:color="auto"/>
              <w:bottom w:val="single" w:sz="4" w:space="0" w:color="auto"/>
              <w:right w:val="single" w:sz="4" w:space="0" w:color="auto"/>
            </w:tcBorders>
          </w:tcPr>
          <w:p w:rsidR="00350E4B" w:rsidRPr="00027CB2" w:rsidRDefault="00350E4B" w:rsidP="00066BAB">
            <w:pPr>
              <w:pStyle w:val="BodyText"/>
            </w:pPr>
            <w:r w:rsidRPr="00027CB2">
              <w:t>Respondent</w:t>
            </w:r>
          </w:p>
        </w:tc>
        <w:tc>
          <w:tcPr>
            <w:tcW w:w="6660" w:type="dxa"/>
            <w:tcBorders>
              <w:top w:val="single" w:sz="4" w:space="0" w:color="auto"/>
              <w:left w:val="single" w:sz="4" w:space="0" w:color="auto"/>
              <w:bottom w:val="single" w:sz="4" w:space="0" w:color="auto"/>
              <w:right w:val="single" w:sz="4" w:space="0" w:color="auto"/>
            </w:tcBorders>
          </w:tcPr>
          <w:p w:rsidR="00350E4B" w:rsidRDefault="00350E4B" w:rsidP="00782C8E">
            <w:pPr>
              <w:pStyle w:val="ListParagraph"/>
              <w:numPr>
                <w:ilvl w:val="0"/>
                <w:numId w:val="5"/>
              </w:numPr>
            </w:pPr>
            <w:r>
              <w:t>R</w:t>
            </w:r>
            <w:r w:rsidRPr="00027CB2">
              <w:t>ecognise the complainant’s right to raise their concerns</w:t>
            </w:r>
            <w:r>
              <w:t>.</w:t>
            </w:r>
          </w:p>
          <w:p w:rsidR="00350E4B" w:rsidRPr="00701E21" w:rsidRDefault="00350E4B" w:rsidP="00782C8E">
            <w:pPr>
              <w:pStyle w:val="ListParagraph"/>
              <w:numPr>
                <w:ilvl w:val="0"/>
                <w:numId w:val="5"/>
              </w:numPr>
            </w:pPr>
            <w:r>
              <w:t>A</w:t>
            </w:r>
            <w:r w:rsidRPr="00027CB2">
              <w:t>ct</w:t>
            </w:r>
            <w:r>
              <w:t xml:space="preserve"> professionally and </w:t>
            </w:r>
            <w:r w:rsidRPr="00027CB2">
              <w:t>respectfully</w:t>
            </w:r>
            <w:r>
              <w:t xml:space="preserve"> in accord</w:t>
            </w:r>
            <w:r w:rsidR="00564B1C">
              <w:t>ance</w:t>
            </w:r>
            <w:r>
              <w:t xml:space="preserve"> with CIT values and signature behaviours.</w:t>
            </w:r>
          </w:p>
          <w:p w:rsidR="00350E4B" w:rsidRPr="00027CB2" w:rsidRDefault="00350E4B" w:rsidP="00782C8E">
            <w:pPr>
              <w:pStyle w:val="ListParagraph"/>
              <w:numPr>
                <w:ilvl w:val="0"/>
                <w:numId w:val="5"/>
              </w:numPr>
            </w:pPr>
            <w:r>
              <w:t>W</w:t>
            </w:r>
            <w:r w:rsidRPr="00027CB2">
              <w:t>ork constructively towards resolution and participate in the resolution process in good faith</w:t>
            </w:r>
            <w:r>
              <w:t>.</w:t>
            </w:r>
            <w:r w:rsidRPr="00027CB2">
              <w:t xml:space="preserve"> </w:t>
            </w:r>
          </w:p>
          <w:p w:rsidR="00350E4B" w:rsidRPr="00027CB2" w:rsidRDefault="00350E4B" w:rsidP="00782C8E">
            <w:pPr>
              <w:pStyle w:val="ListParagraph"/>
              <w:numPr>
                <w:ilvl w:val="0"/>
                <w:numId w:val="5"/>
              </w:numPr>
            </w:pPr>
            <w:r>
              <w:t>N</w:t>
            </w:r>
            <w:r w:rsidRPr="00027CB2">
              <w:t>ot victimise, harass or give adverse treatment to the complainant or others involved in resolving the workplace issue or dispute</w:t>
            </w:r>
            <w:r>
              <w:t>.</w:t>
            </w:r>
          </w:p>
          <w:p w:rsidR="00350E4B" w:rsidRPr="00027CB2" w:rsidRDefault="00350E4B" w:rsidP="00782C8E">
            <w:pPr>
              <w:pStyle w:val="ListParagraph"/>
              <w:numPr>
                <w:ilvl w:val="0"/>
                <w:numId w:val="5"/>
              </w:numPr>
            </w:pPr>
            <w:r>
              <w:t>O</w:t>
            </w:r>
            <w:r w:rsidRPr="00027CB2">
              <w:t>nly discuss the workplace issue or dispute with the parties involved in its resolution, or those who are assisting.</w:t>
            </w:r>
          </w:p>
        </w:tc>
      </w:tr>
      <w:tr w:rsidR="00350E4B" w:rsidRPr="00027CB2" w:rsidTr="00296854">
        <w:tc>
          <w:tcPr>
            <w:tcW w:w="1908" w:type="dxa"/>
            <w:tcBorders>
              <w:top w:val="single" w:sz="4" w:space="0" w:color="auto"/>
              <w:left w:val="single" w:sz="4" w:space="0" w:color="auto"/>
              <w:bottom w:val="single" w:sz="4" w:space="0" w:color="auto"/>
              <w:right w:val="single" w:sz="4" w:space="0" w:color="auto"/>
            </w:tcBorders>
          </w:tcPr>
          <w:p w:rsidR="00350E4B" w:rsidRPr="00027CB2" w:rsidRDefault="00350E4B" w:rsidP="00066BAB">
            <w:pPr>
              <w:pStyle w:val="BodyText"/>
            </w:pPr>
            <w:r w:rsidRPr="00027CB2">
              <w:t>Workplace Issue Manager(s)</w:t>
            </w:r>
          </w:p>
          <w:p w:rsidR="00350E4B" w:rsidRPr="00027CB2" w:rsidRDefault="00350E4B" w:rsidP="00066BAB">
            <w:pPr>
              <w:pStyle w:val="BodyText"/>
            </w:pPr>
          </w:p>
        </w:tc>
        <w:tc>
          <w:tcPr>
            <w:tcW w:w="6660" w:type="dxa"/>
            <w:tcBorders>
              <w:top w:val="single" w:sz="4" w:space="0" w:color="auto"/>
              <w:left w:val="single" w:sz="4" w:space="0" w:color="auto"/>
              <w:bottom w:val="single" w:sz="4" w:space="0" w:color="auto"/>
              <w:right w:val="single" w:sz="4" w:space="0" w:color="auto"/>
            </w:tcBorders>
          </w:tcPr>
          <w:p w:rsidR="00350E4B" w:rsidRPr="00027CB2" w:rsidRDefault="004B1DA0" w:rsidP="00782C8E">
            <w:pPr>
              <w:pStyle w:val="ListParagraph"/>
              <w:numPr>
                <w:ilvl w:val="0"/>
                <w:numId w:val="5"/>
              </w:numPr>
            </w:pPr>
            <w:r>
              <w:t>U</w:t>
            </w:r>
            <w:r w:rsidR="00350E4B" w:rsidRPr="00027CB2">
              <w:t>ndertake appropriate training in the handling of workplace issues</w:t>
            </w:r>
            <w:r w:rsidR="00564B1C">
              <w:t xml:space="preserve"> and manage process according to these Procedures</w:t>
            </w:r>
            <w:r w:rsidR="00350E4B">
              <w:t>.</w:t>
            </w:r>
          </w:p>
          <w:p w:rsidR="00350E4B" w:rsidRPr="00027CB2" w:rsidRDefault="00350E4B" w:rsidP="00782C8E">
            <w:pPr>
              <w:pStyle w:val="ListParagraph"/>
              <w:numPr>
                <w:ilvl w:val="0"/>
                <w:numId w:val="5"/>
              </w:numPr>
            </w:pPr>
            <w:r>
              <w:t>T</w:t>
            </w:r>
            <w:r w:rsidRPr="00027CB2">
              <w:t>ake all workplace issues seriously</w:t>
            </w:r>
            <w:r>
              <w:t>.</w:t>
            </w:r>
          </w:p>
          <w:p w:rsidR="00350E4B" w:rsidRPr="00027CB2" w:rsidRDefault="00350E4B" w:rsidP="00782C8E">
            <w:pPr>
              <w:pStyle w:val="ListParagraph"/>
              <w:numPr>
                <w:ilvl w:val="0"/>
                <w:numId w:val="5"/>
              </w:numPr>
            </w:pPr>
            <w:r>
              <w:t>T</w:t>
            </w:r>
            <w:r w:rsidRPr="00027CB2">
              <w:t>reat all parties with sensitivity, respect and courtesy.</w:t>
            </w:r>
          </w:p>
          <w:p w:rsidR="00350E4B" w:rsidRPr="00701E21" w:rsidRDefault="00350E4B" w:rsidP="00782C8E">
            <w:pPr>
              <w:pStyle w:val="ListParagraph"/>
              <w:numPr>
                <w:ilvl w:val="0"/>
                <w:numId w:val="5"/>
              </w:numPr>
            </w:pPr>
            <w:r>
              <w:t>M</w:t>
            </w:r>
            <w:r w:rsidRPr="00027CB2">
              <w:t>odel behaviour that promotes high standards of behaviour</w:t>
            </w:r>
            <w:r>
              <w:t xml:space="preserve"> in accord</w:t>
            </w:r>
            <w:r w:rsidR="00564B1C">
              <w:t>ance</w:t>
            </w:r>
            <w:r>
              <w:t xml:space="preserve"> with CIT values and signature behaviours.</w:t>
            </w:r>
          </w:p>
          <w:p w:rsidR="00350E4B" w:rsidRPr="00027CB2" w:rsidRDefault="00350E4B" w:rsidP="00782C8E">
            <w:pPr>
              <w:pStyle w:val="ListParagraph"/>
              <w:numPr>
                <w:ilvl w:val="0"/>
                <w:numId w:val="5"/>
              </w:numPr>
            </w:pPr>
            <w:r w:rsidRPr="00027CB2">
              <w:t>Workplace issue should be dealt with quickly, courteously, fairly and within the timelines</w:t>
            </w:r>
            <w:r w:rsidR="00564B1C">
              <w:t xml:space="preserve"> determined</w:t>
            </w:r>
            <w:r w:rsidRPr="00027CB2">
              <w:t>. To advise all parties of how long it will take to deal with the issue and keep them informed of the progress.</w:t>
            </w:r>
          </w:p>
          <w:p w:rsidR="00350E4B" w:rsidRDefault="00350E4B" w:rsidP="00782C8E">
            <w:pPr>
              <w:pStyle w:val="ListParagraph"/>
              <w:numPr>
                <w:ilvl w:val="0"/>
                <w:numId w:val="5"/>
              </w:numPr>
            </w:pPr>
            <w:r>
              <w:t>A</w:t>
            </w:r>
            <w:r w:rsidRPr="00027CB2">
              <w:t xml:space="preserve">dvise all parties of support mechanisms available. </w:t>
            </w:r>
          </w:p>
          <w:p w:rsidR="00350E4B" w:rsidRPr="00027CB2" w:rsidRDefault="00350E4B" w:rsidP="00782C8E">
            <w:pPr>
              <w:pStyle w:val="ListParagraph"/>
              <w:numPr>
                <w:ilvl w:val="0"/>
                <w:numId w:val="5"/>
              </w:numPr>
            </w:pPr>
            <w:r>
              <w:t>A</w:t>
            </w:r>
            <w:r w:rsidRPr="00027CB2">
              <w:t>ssess the workplace issue in consultation with complainant</w:t>
            </w:r>
            <w:r>
              <w:t xml:space="preserve"> and respondent if appropriate</w:t>
            </w:r>
            <w:r w:rsidR="00564B1C">
              <w:t>.</w:t>
            </w:r>
          </w:p>
          <w:p w:rsidR="00350E4B" w:rsidRPr="00982257" w:rsidRDefault="00350E4B" w:rsidP="00782C8E">
            <w:pPr>
              <w:pStyle w:val="ListParagraph"/>
              <w:numPr>
                <w:ilvl w:val="0"/>
                <w:numId w:val="5"/>
              </w:numPr>
            </w:pPr>
            <w:r>
              <w:t>I</w:t>
            </w:r>
            <w:r w:rsidRPr="00027CB2">
              <w:t>dentify the most appropriate mechanism for workplace issue resolution</w:t>
            </w:r>
            <w:r>
              <w:t>.</w:t>
            </w:r>
          </w:p>
          <w:p w:rsidR="00350E4B" w:rsidRPr="00027CB2" w:rsidRDefault="00350E4B" w:rsidP="00782C8E">
            <w:pPr>
              <w:pStyle w:val="ListParagraph"/>
              <w:numPr>
                <w:ilvl w:val="0"/>
                <w:numId w:val="5"/>
              </w:numPr>
            </w:pPr>
            <w:r>
              <w:t>A</w:t>
            </w:r>
            <w:r w:rsidRPr="00027CB2">
              <w:t>llow all parties to have a support person present at interviews or meetings (e</w:t>
            </w:r>
            <w:r w:rsidR="008D653E">
              <w:t>.</w:t>
            </w:r>
            <w:r w:rsidRPr="00027CB2">
              <w:t>g</w:t>
            </w:r>
            <w:r w:rsidR="008D653E">
              <w:t>.</w:t>
            </w:r>
            <w:r w:rsidRPr="00027CB2">
              <w:t xml:space="preserve"> health and safety representative, family member, union representative or friend)</w:t>
            </w:r>
            <w:r>
              <w:t>.</w:t>
            </w:r>
          </w:p>
          <w:p w:rsidR="00350E4B" w:rsidRPr="00027CB2" w:rsidRDefault="00350E4B" w:rsidP="00782C8E">
            <w:pPr>
              <w:pStyle w:val="ListParagraph"/>
              <w:numPr>
                <w:ilvl w:val="0"/>
                <w:numId w:val="5"/>
              </w:numPr>
            </w:pPr>
            <w:r>
              <w:t>W</w:t>
            </w:r>
            <w:r w:rsidRPr="00027CB2">
              <w:t>orkplace issue to be handled according to the principles of natural justice</w:t>
            </w:r>
            <w:r>
              <w:t>.</w:t>
            </w:r>
          </w:p>
          <w:p w:rsidR="00350E4B" w:rsidRDefault="00350E4B" w:rsidP="00782C8E">
            <w:pPr>
              <w:pStyle w:val="ListParagraph"/>
              <w:numPr>
                <w:ilvl w:val="0"/>
                <w:numId w:val="5"/>
              </w:numPr>
            </w:pPr>
            <w:r>
              <w:lastRenderedPageBreak/>
              <w:t>A</w:t>
            </w:r>
            <w:r w:rsidRPr="00027CB2">
              <w:t>cknowledge any potential bias or conflict of interest.</w:t>
            </w:r>
          </w:p>
          <w:p w:rsidR="00350E4B" w:rsidRDefault="00350E4B" w:rsidP="00782C8E">
            <w:pPr>
              <w:pStyle w:val="ListParagraph"/>
              <w:numPr>
                <w:ilvl w:val="0"/>
                <w:numId w:val="5"/>
              </w:numPr>
            </w:pPr>
            <w:r>
              <w:t>Consult with senior managers as required</w:t>
            </w:r>
            <w:r w:rsidRPr="00255415">
              <w:t xml:space="preserve"> in </w:t>
            </w:r>
            <w:r>
              <w:t>Table 1 and keep them informed</w:t>
            </w:r>
            <w:r w:rsidR="00564B1C">
              <w:t>.</w:t>
            </w:r>
          </w:p>
          <w:p w:rsidR="00350E4B" w:rsidRDefault="00350E4B" w:rsidP="00782C8E">
            <w:pPr>
              <w:pStyle w:val="ListParagraph"/>
              <w:numPr>
                <w:ilvl w:val="0"/>
                <w:numId w:val="5"/>
              </w:numPr>
            </w:pPr>
            <w:r>
              <w:t>Complete record keeping</w:t>
            </w:r>
            <w:r w:rsidR="00564B1C">
              <w:t>.</w:t>
            </w:r>
            <w:r>
              <w:t xml:space="preserve"> </w:t>
            </w:r>
          </w:p>
          <w:p w:rsidR="00350E4B" w:rsidRDefault="00350E4B" w:rsidP="00782C8E">
            <w:pPr>
              <w:pStyle w:val="ListParagraph"/>
              <w:numPr>
                <w:ilvl w:val="0"/>
                <w:numId w:val="5"/>
              </w:numPr>
            </w:pPr>
            <w:r>
              <w:t>Inform all parties when the matter is resolved</w:t>
            </w:r>
            <w:r w:rsidR="00564B1C">
              <w:t>.</w:t>
            </w:r>
          </w:p>
          <w:p w:rsidR="00564B1C" w:rsidRPr="00FE5383" w:rsidRDefault="00564B1C" w:rsidP="00782C8E">
            <w:pPr>
              <w:pStyle w:val="ListParagraph"/>
              <w:numPr>
                <w:ilvl w:val="0"/>
                <w:numId w:val="5"/>
              </w:numPr>
            </w:pPr>
            <w:r>
              <w:t>Maintain privacy and confidentiality as per relevant legislation, policies and procedures.</w:t>
            </w:r>
          </w:p>
        </w:tc>
      </w:tr>
    </w:tbl>
    <w:p w:rsidR="00350E4B" w:rsidRPr="00027CB2" w:rsidRDefault="00350E4B" w:rsidP="00066BAB"/>
    <w:p w:rsidR="000C39B4" w:rsidRDefault="000C39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6660"/>
      </w:tblGrid>
      <w:tr w:rsidR="00350E4B" w:rsidRPr="00027CB2" w:rsidTr="00296854">
        <w:tc>
          <w:tcPr>
            <w:tcW w:w="856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50E4B" w:rsidRPr="000C39B4" w:rsidRDefault="000C39B4" w:rsidP="00747C79">
            <w:pPr>
              <w:pStyle w:val="Heading2"/>
              <w:numPr>
                <w:ilvl w:val="0"/>
                <w:numId w:val="0"/>
              </w:numPr>
              <w:spacing w:before="60"/>
            </w:pPr>
            <w:bookmarkStart w:id="15" w:name="_Toc166420"/>
            <w:r w:rsidRPr="000C39B4">
              <w:lastRenderedPageBreak/>
              <w:t>Table 3 -</w:t>
            </w:r>
            <w:r w:rsidR="00350E4B" w:rsidRPr="000C39B4">
              <w:t xml:space="preserve"> Support available to all individuals involved in workplace issues</w:t>
            </w:r>
            <w:bookmarkEnd w:id="15"/>
          </w:p>
        </w:tc>
      </w:tr>
      <w:tr w:rsidR="00350E4B" w:rsidRPr="00027CB2" w:rsidTr="00296854">
        <w:tc>
          <w:tcPr>
            <w:tcW w:w="1908" w:type="dxa"/>
            <w:tcBorders>
              <w:top w:val="single" w:sz="4" w:space="0" w:color="auto"/>
              <w:left w:val="single" w:sz="4" w:space="0" w:color="auto"/>
              <w:bottom w:val="single" w:sz="4" w:space="0" w:color="auto"/>
              <w:right w:val="single" w:sz="4" w:space="0" w:color="auto"/>
            </w:tcBorders>
          </w:tcPr>
          <w:p w:rsidR="00350E4B" w:rsidRPr="00027CB2" w:rsidRDefault="00350E4B" w:rsidP="00066BAB">
            <w:pPr>
              <w:pStyle w:val="BodyText"/>
            </w:pPr>
            <w:r w:rsidRPr="00027CB2">
              <w:t>CIT H</w:t>
            </w:r>
            <w:r w:rsidR="00CC115F">
              <w:t xml:space="preserve">uman </w:t>
            </w:r>
            <w:r w:rsidRPr="00027CB2">
              <w:t>R</w:t>
            </w:r>
            <w:r w:rsidR="00CC115F">
              <w:t>esources</w:t>
            </w:r>
            <w:r w:rsidR="00747C79">
              <w:t xml:space="preserve"> and Organisational Development</w:t>
            </w:r>
          </w:p>
          <w:p w:rsidR="00350E4B" w:rsidRPr="00027CB2" w:rsidRDefault="00350E4B" w:rsidP="00066BAB">
            <w:pPr>
              <w:pStyle w:val="BodyText"/>
            </w:pPr>
          </w:p>
          <w:p w:rsidR="00350E4B" w:rsidRPr="00027CB2" w:rsidRDefault="00350E4B" w:rsidP="00066BAB">
            <w:pPr>
              <w:pStyle w:val="BodyText"/>
            </w:pPr>
          </w:p>
        </w:tc>
        <w:tc>
          <w:tcPr>
            <w:tcW w:w="6660" w:type="dxa"/>
            <w:tcBorders>
              <w:top w:val="single" w:sz="4" w:space="0" w:color="auto"/>
              <w:left w:val="single" w:sz="4" w:space="0" w:color="auto"/>
              <w:bottom w:val="single" w:sz="4" w:space="0" w:color="auto"/>
              <w:right w:val="single" w:sz="4" w:space="0" w:color="auto"/>
            </w:tcBorders>
          </w:tcPr>
          <w:p w:rsidR="00350E4B" w:rsidRPr="00027CB2" w:rsidRDefault="00350E4B" w:rsidP="00296854">
            <w:pPr>
              <w:pStyle w:val="Default"/>
              <w:rPr>
                <w:rFonts w:asciiTheme="minorHAnsi" w:hAnsiTheme="minorHAnsi" w:cstheme="minorHAnsi"/>
                <w:color w:val="auto"/>
                <w:sz w:val="22"/>
                <w:szCs w:val="22"/>
              </w:rPr>
            </w:pPr>
            <w:r w:rsidRPr="00027CB2">
              <w:rPr>
                <w:rFonts w:asciiTheme="minorHAnsi" w:hAnsiTheme="minorHAnsi" w:cstheme="minorHAnsi"/>
                <w:color w:val="auto"/>
                <w:sz w:val="22"/>
                <w:szCs w:val="22"/>
              </w:rPr>
              <w:t>CIT H</w:t>
            </w:r>
            <w:r w:rsidR="00CC115F">
              <w:rPr>
                <w:rFonts w:asciiTheme="minorHAnsi" w:hAnsiTheme="minorHAnsi" w:cstheme="minorHAnsi"/>
                <w:color w:val="auto"/>
                <w:sz w:val="22"/>
                <w:szCs w:val="22"/>
              </w:rPr>
              <w:t>uman Resources</w:t>
            </w:r>
            <w:r w:rsidR="00747C79">
              <w:rPr>
                <w:rFonts w:asciiTheme="minorHAnsi" w:hAnsiTheme="minorHAnsi" w:cstheme="minorHAnsi"/>
                <w:color w:val="auto"/>
                <w:sz w:val="22"/>
                <w:szCs w:val="22"/>
              </w:rPr>
              <w:t xml:space="preserve"> and Organisational Development team</w:t>
            </w:r>
            <w:r w:rsidRPr="00027CB2">
              <w:rPr>
                <w:rFonts w:asciiTheme="minorHAnsi" w:hAnsiTheme="minorHAnsi" w:cstheme="minorHAnsi"/>
                <w:color w:val="auto"/>
                <w:sz w:val="22"/>
                <w:szCs w:val="22"/>
              </w:rPr>
              <w:t xml:space="preserve"> can assist by:</w:t>
            </w:r>
          </w:p>
          <w:p w:rsidR="00350E4B" w:rsidRPr="00027CB2" w:rsidRDefault="00350E4B" w:rsidP="00782C8E">
            <w:pPr>
              <w:pStyle w:val="ListParagraph"/>
              <w:numPr>
                <w:ilvl w:val="0"/>
                <w:numId w:val="5"/>
              </w:numPr>
            </w:pPr>
            <w:r w:rsidRPr="00027CB2">
              <w:t>providing strategic inform</w:t>
            </w:r>
            <w:r>
              <w:t>ation and  advice on HR matters;</w:t>
            </w:r>
          </w:p>
          <w:p w:rsidR="00350E4B" w:rsidRPr="00027CB2" w:rsidRDefault="00350E4B" w:rsidP="00782C8E">
            <w:pPr>
              <w:pStyle w:val="ListParagraph"/>
              <w:numPr>
                <w:ilvl w:val="0"/>
                <w:numId w:val="5"/>
              </w:numPr>
            </w:pPr>
            <w:r w:rsidRPr="00027CB2">
              <w:t xml:space="preserve">guiding </w:t>
            </w:r>
            <w:r w:rsidR="005E509F">
              <w:t>s</w:t>
            </w:r>
            <w:r w:rsidRPr="00027CB2">
              <w:t xml:space="preserve"> and staff through the employment</w:t>
            </w:r>
            <w:r>
              <w:t xml:space="preserve"> framework – including the EA, </w:t>
            </w:r>
            <w:r w:rsidRPr="00027CB2">
              <w:t>PSMA, Fair Work Act and the discipline process</w:t>
            </w:r>
            <w:r>
              <w:t>;</w:t>
            </w:r>
          </w:p>
          <w:p w:rsidR="00350E4B" w:rsidRPr="00027CB2" w:rsidRDefault="00350E4B" w:rsidP="00782C8E">
            <w:pPr>
              <w:pStyle w:val="ListParagraph"/>
              <w:numPr>
                <w:ilvl w:val="0"/>
                <w:numId w:val="5"/>
              </w:numPr>
            </w:pPr>
            <w:r w:rsidRPr="00027CB2">
              <w:t>informing all parties o</w:t>
            </w:r>
            <w:r w:rsidR="00387288">
              <w:t>f</w:t>
            </w:r>
            <w:r w:rsidRPr="00027CB2">
              <w:t xml:space="preserve"> the support mechanisms available</w:t>
            </w:r>
            <w:r>
              <w:t>;</w:t>
            </w:r>
          </w:p>
          <w:p w:rsidR="00350E4B" w:rsidRPr="00027CB2" w:rsidRDefault="00350E4B" w:rsidP="00361F48">
            <w:pPr>
              <w:pStyle w:val="ListParagraph"/>
              <w:numPr>
                <w:ilvl w:val="0"/>
                <w:numId w:val="5"/>
              </w:numPr>
            </w:pPr>
            <w:r w:rsidRPr="00027CB2">
              <w:t xml:space="preserve">facilitating links with external </w:t>
            </w:r>
            <w:r w:rsidR="00387288">
              <w:t>agencies</w:t>
            </w:r>
            <w:r>
              <w:t>.</w:t>
            </w:r>
          </w:p>
        </w:tc>
      </w:tr>
      <w:tr w:rsidR="00350E4B" w:rsidRPr="00027CB2" w:rsidTr="00296854">
        <w:tc>
          <w:tcPr>
            <w:tcW w:w="1908" w:type="dxa"/>
            <w:tcBorders>
              <w:top w:val="single" w:sz="4" w:space="0" w:color="auto"/>
              <w:left w:val="single" w:sz="4" w:space="0" w:color="auto"/>
              <w:bottom w:val="single" w:sz="4" w:space="0" w:color="auto"/>
              <w:right w:val="single" w:sz="4" w:space="0" w:color="auto"/>
            </w:tcBorders>
          </w:tcPr>
          <w:p w:rsidR="00350E4B" w:rsidRPr="00027CB2" w:rsidRDefault="00350E4B" w:rsidP="00066BAB">
            <w:pPr>
              <w:pStyle w:val="BodyText"/>
            </w:pPr>
            <w:r w:rsidRPr="00027CB2">
              <w:t>RED contact Officer</w:t>
            </w:r>
          </w:p>
          <w:p w:rsidR="00350E4B" w:rsidRPr="00027CB2" w:rsidRDefault="00350E4B" w:rsidP="00066BAB">
            <w:pPr>
              <w:pStyle w:val="BodyText"/>
            </w:pPr>
          </w:p>
          <w:p w:rsidR="00350E4B" w:rsidRPr="00027CB2" w:rsidRDefault="00350E4B" w:rsidP="00066BAB">
            <w:pPr>
              <w:pStyle w:val="BodyText"/>
            </w:pPr>
          </w:p>
          <w:p w:rsidR="00350E4B" w:rsidRPr="00027CB2" w:rsidRDefault="00350E4B" w:rsidP="00066BAB">
            <w:pPr>
              <w:pStyle w:val="BodyText"/>
            </w:pPr>
          </w:p>
        </w:tc>
        <w:tc>
          <w:tcPr>
            <w:tcW w:w="6660" w:type="dxa"/>
            <w:tcBorders>
              <w:top w:val="single" w:sz="4" w:space="0" w:color="auto"/>
              <w:left w:val="single" w:sz="4" w:space="0" w:color="auto"/>
              <w:bottom w:val="single" w:sz="4" w:space="0" w:color="auto"/>
              <w:right w:val="single" w:sz="4" w:space="0" w:color="auto"/>
            </w:tcBorders>
          </w:tcPr>
          <w:p w:rsidR="00350E4B" w:rsidRPr="00027CB2" w:rsidRDefault="00350E4B" w:rsidP="00296854">
            <w:pPr>
              <w:pStyle w:val="Default"/>
              <w:rPr>
                <w:rFonts w:asciiTheme="minorHAnsi" w:hAnsiTheme="minorHAnsi" w:cstheme="minorHAnsi"/>
                <w:color w:val="auto"/>
                <w:sz w:val="22"/>
                <w:szCs w:val="22"/>
              </w:rPr>
            </w:pPr>
            <w:r w:rsidRPr="00027CB2">
              <w:rPr>
                <w:rFonts w:asciiTheme="minorHAnsi" w:hAnsiTheme="minorHAnsi" w:cstheme="minorHAnsi"/>
                <w:color w:val="auto"/>
                <w:sz w:val="22"/>
                <w:szCs w:val="22"/>
              </w:rPr>
              <w:t>R</w:t>
            </w:r>
            <w:r w:rsidR="00747C79">
              <w:rPr>
                <w:rFonts w:asciiTheme="minorHAnsi" w:hAnsiTheme="minorHAnsi" w:cstheme="minorHAnsi"/>
                <w:color w:val="auto"/>
                <w:sz w:val="22"/>
                <w:szCs w:val="22"/>
              </w:rPr>
              <w:t xml:space="preserve">espect, </w:t>
            </w:r>
            <w:r w:rsidRPr="00027CB2">
              <w:rPr>
                <w:rFonts w:asciiTheme="minorHAnsi" w:hAnsiTheme="minorHAnsi" w:cstheme="minorHAnsi"/>
                <w:color w:val="auto"/>
                <w:sz w:val="22"/>
                <w:szCs w:val="22"/>
              </w:rPr>
              <w:t>E</w:t>
            </w:r>
            <w:r w:rsidR="00747C79">
              <w:rPr>
                <w:rFonts w:asciiTheme="minorHAnsi" w:hAnsiTheme="minorHAnsi" w:cstheme="minorHAnsi"/>
                <w:color w:val="auto"/>
                <w:sz w:val="22"/>
                <w:szCs w:val="22"/>
              </w:rPr>
              <w:t xml:space="preserve">quity and </w:t>
            </w:r>
            <w:r w:rsidRPr="00027CB2">
              <w:rPr>
                <w:rFonts w:asciiTheme="minorHAnsi" w:hAnsiTheme="minorHAnsi" w:cstheme="minorHAnsi"/>
                <w:color w:val="auto"/>
                <w:sz w:val="22"/>
                <w:szCs w:val="22"/>
              </w:rPr>
              <w:t>D</w:t>
            </w:r>
            <w:r w:rsidR="00747C79">
              <w:rPr>
                <w:rFonts w:asciiTheme="minorHAnsi" w:hAnsiTheme="minorHAnsi" w:cstheme="minorHAnsi"/>
                <w:color w:val="auto"/>
                <w:sz w:val="22"/>
                <w:szCs w:val="22"/>
              </w:rPr>
              <w:t>iversity (RED)</w:t>
            </w:r>
            <w:r w:rsidRPr="00027CB2">
              <w:rPr>
                <w:rFonts w:asciiTheme="minorHAnsi" w:hAnsiTheme="minorHAnsi" w:cstheme="minorHAnsi"/>
                <w:color w:val="auto"/>
                <w:sz w:val="22"/>
                <w:szCs w:val="22"/>
              </w:rPr>
              <w:t xml:space="preserve"> contact officers are trained staff members who can provide guidance on how to address workplace issues. </w:t>
            </w:r>
            <w:r>
              <w:rPr>
                <w:rFonts w:asciiTheme="minorHAnsi" w:hAnsiTheme="minorHAnsi" w:cstheme="minorHAnsi"/>
                <w:color w:val="auto"/>
                <w:sz w:val="22"/>
                <w:szCs w:val="22"/>
              </w:rPr>
              <w:t xml:space="preserve"> </w:t>
            </w:r>
            <w:r w:rsidRPr="00027CB2">
              <w:rPr>
                <w:rFonts w:asciiTheme="minorHAnsi" w:hAnsiTheme="minorHAnsi" w:cstheme="minorHAnsi"/>
                <w:color w:val="auto"/>
                <w:sz w:val="22"/>
                <w:szCs w:val="22"/>
              </w:rPr>
              <w:t xml:space="preserve">They can also: </w:t>
            </w:r>
          </w:p>
          <w:p w:rsidR="00350E4B" w:rsidRPr="00027CB2" w:rsidRDefault="00350E4B" w:rsidP="00782C8E">
            <w:pPr>
              <w:pStyle w:val="Default"/>
              <w:numPr>
                <w:ilvl w:val="0"/>
                <w:numId w:val="4"/>
              </w:numPr>
              <w:rPr>
                <w:rFonts w:asciiTheme="minorHAnsi" w:eastAsia="Times New Roman" w:hAnsiTheme="minorHAnsi" w:cstheme="minorHAnsi"/>
                <w:color w:val="auto"/>
                <w:sz w:val="22"/>
                <w:szCs w:val="22"/>
                <w:lang w:eastAsia="en-AU"/>
              </w:rPr>
            </w:pPr>
            <w:r w:rsidRPr="00027CB2">
              <w:rPr>
                <w:rFonts w:asciiTheme="minorHAnsi" w:eastAsia="Times New Roman" w:hAnsiTheme="minorHAnsi" w:cstheme="minorHAnsi"/>
                <w:color w:val="auto"/>
                <w:sz w:val="22"/>
                <w:szCs w:val="22"/>
                <w:lang w:eastAsia="en-AU"/>
              </w:rPr>
              <w:t xml:space="preserve">advise on what </w:t>
            </w:r>
            <w:r w:rsidR="000D17AE">
              <w:rPr>
                <w:rFonts w:asciiTheme="minorHAnsi" w:eastAsia="Times New Roman" w:hAnsiTheme="minorHAnsi" w:cstheme="minorHAnsi"/>
                <w:color w:val="auto"/>
                <w:sz w:val="22"/>
                <w:szCs w:val="22"/>
                <w:lang w:eastAsia="en-AU"/>
              </w:rPr>
              <w:t xml:space="preserve">may </w:t>
            </w:r>
            <w:r w:rsidRPr="00027CB2">
              <w:rPr>
                <w:rFonts w:asciiTheme="minorHAnsi" w:eastAsia="Times New Roman" w:hAnsiTheme="minorHAnsi" w:cstheme="minorHAnsi"/>
                <w:color w:val="auto"/>
                <w:sz w:val="22"/>
                <w:szCs w:val="22"/>
                <w:lang w:eastAsia="en-AU"/>
              </w:rPr>
              <w:t>constitutes bullying and harassment</w:t>
            </w:r>
            <w:r>
              <w:rPr>
                <w:rFonts w:asciiTheme="minorHAnsi" w:eastAsia="Times New Roman" w:hAnsiTheme="minorHAnsi" w:cstheme="minorHAnsi"/>
                <w:color w:val="auto"/>
                <w:sz w:val="22"/>
                <w:szCs w:val="22"/>
                <w:lang w:eastAsia="en-AU"/>
              </w:rPr>
              <w:t>;</w:t>
            </w:r>
          </w:p>
          <w:p w:rsidR="00350E4B" w:rsidRPr="00027CB2" w:rsidRDefault="00350E4B" w:rsidP="00782C8E">
            <w:pPr>
              <w:pStyle w:val="Default"/>
              <w:numPr>
                <w:ilvl w:val="0"/>
                <w:numId w:val="4"/>
              </w:numPr>
              <w:rPr>
                <w:rFonts w:asciiTheme="minorHAnsi" w:eastAsia="Times New Roman" w:hAnsiTheme="minorHAnsi" w:cstheme="minorHAnsi"/>
                <w:color w:val="auto"/>
                <w:sz w:val="22"/>
                <w:szCs w:val="22"/>
                <w:lang w:eastAsia="en-AU"/>
              </w:rPr>
            </w:pPr>
            <w:r w:rsidRPr="00027CB2">
              <w:rPr>
                <w:rFonts w:asciiTheme="minorHAnsi" w:eastAsia="Times New Roman" w:hAnsiTheme="minorHAnsi" w:cstheme="minorHAnsi"/>
                <w:color w:val="auto"/>
                <w:sz w:val="22"/>
                <w:szCs w:val="22"/>
                <w:lang w:eastAsia="en-AU"/>
              </w:rPr>
              <w:t>listen sympathetically and without judgement to a complainant</w:t>
            </w:r>
            <w:r>
              <w:rPr>
                <w:rFonts w:asciiTheme="minorHAnsi" w:eastAsia="Times New Roman" w:hAnsiTheme="minorHAnsi" w:cstheme="minorHAnsi"/>
                <w:color w:val="auto"/>
                <w:sz w:val="22"/>
                <w:szCs w:val="22"/>
                <w:lang w:eastAsia="en-AU"/>
              </w:rPr>
              <w:t>;</w:t>
            </w:r>
          </w:p>
          <w:p w:rsidR="00350E4B" w:rsidRPr="00027CB2" w:rsidRDefault="00350E4B" w:rsidP="00782C8E">
            <w:pPr>
              <w:pStyle w:val="Default"/>
              <w:numPr>
                <w:ilvl w:val="0"/>
                <w:numId w:val="4"/>
              </w:numPr>
              <w:rPr>
                <w:rFonts w:asciiTheme="minorHAnsi" w:eastAsia="Times New Roman" w:hAnsiTheme="minorHAnsi" w:cstheme="minorHAnsi"/>
                <w:color w:val="auto"/>
                <w:sz w:val="22"/>
                <w:szCs w:val="22"/>
                <w:lang w:eastAsia="en-AU"/>
              </w:rPr>
            </w:pPr>
            <w:r w:rsidRPr="00027CB2">
              <w:rPr>
                <w:rFonts w:asciiTheme="minorHAnsi" w:eastAsia="Times New Roman" w:hAnsiTheme="minorHAnsi" w:cstheme="minorHAnsi"/>
                <w:color w:val="auto"/>
                <w:sz w:val="22"/>
                <w:szCs w:val="22"/>
                <w:lang w:eastAsia="en-AU"/>
              </w:rPr>
              <w:t>find out what outcomes the complainant is seeking and provide available and appropriate options</w:t>
            </w:r>
            <w:r>
              <w:rPr>
                <w:rFonts w:asciiTheme="minorHAnsi" w:eastAsia="Times New Roman" w:hAnsiTheme="minorHAnsi" w:cstheme="minorHAnsi"/>
                <w:color w:val="auto"/>
                <w:sz w:val="22"/>
                <w:szCs w:val="22"/>
                <w:lang w:eastAsia="en-AU"/>
              </w:rPr>
              <w:t>;</w:t>
            </w:r>
          </w:p>
          <w:p w:rsidR="00350E4B" w:rsidRPr="000C39B4" w:rsidRDefault="00350E4B" w:rsidP="00782C8E">
            <w:pPr>
              <w:pStyle w:val="Default"/>
              <w:numPr>
                <w:ilvl w:val="0"/>
                <w:numId w:val="4"/>
              </w:numPr>
              <w:rPr>
                <w:rFonts w:asciiTheme="minorHAnsi" w:hAnsiTheme="minorHAnsi" w:cstheme="minorHAnsi"/>
                <w:color w:val="auto"/>
                <w:sz w:val="22"/>
                <w:szCs w:val="22"/>
              </w:rPr>
            </w:pPr>
            <w:r w:rsidRPr="00027CB2">
              <w:rPr>
                <w:rFonts w:asciiTheme="minorHAnsi" w:eastAsia="Times New Roman" w:hAnsiTheme="minorHAnsi" w:cstheme="minorHAnsi"/>
                <w:color w:val="auto"/>
                <w:sz w:val="22"/>
                <w:szCs w:val="22"/>
                <w:lang w:eastAsia="en-AU"/>
              </w:rPr>
              <w:t>advise staff on the support mechanisms available</w:t>
            </w:r>
            <w:r>
              <w:rPr>
                <w:rFonts w:asciiTheme="minorHAnsi" w:eastAsia="Times New Roman" w:hAnsiTheme="minorHAnsi" w:cstheme="minorHAnsi"/>
                <w:color w:val="auto"/>
                <w:sz w:val="22"/>
                <w:szCs w:val="22"/>
                <w:lang w:eastAsia="en-AU"/>
              </w:rPr>
              <w:t>.</w:t>
            </w:r>
          </w:p>
        </w:tc>
      </w:tr>
      <w:tr w:rsidR="00350E4B" w:rsidRPr="00027CB2" w:rsidTr="00296854">
        <w:tc>
          <w:tcPr>
            <w:tcW w:w="1908" w:type="dxa"/>
            <w:tcBorders>
              <w:top w:val="single" w:sz="4" w:space="0" w:color="auto"/>
              <w:left w:val="single" w:sz="4" w:space="0" w:color="auto"/>
              <w:bottom w:val="single" w:sz="4" w:space="0" w:color="auto"/>
              <w:right w:val="single" w:sz="4" w:space="0" w:color="auto"/>
            </w:tcBorders>
          </w:tcPr>
          <w:p w:rsidR="00350E4B" w:rsidRPr="00027CB2" w:rsidRDefault="00350E4B" w:rsidP="00066BAB">
            <w:pPr>
              <w:pStyle w:val="BodyText"/>
            </w:pPr>
            <w:r w:rsidRPr="00027CB2">
              <w:t>A CIT  Manager</w:t>
            </w:r>
          </w:p>
        </w:tc>
        <w:tc>
          <w:tcPr>
            <w:tcW w:w="6660" w:type="dxa"/>
            <w:tcBorders>
              <w:top w:val="single" w:sz="4" w:space="0" w:color="auto"/>
              <w:left w:val="single" w:sz="4" w:space="0" w:color="auto"/>
              <w:bottom w:val="single" w:sz="4" w:space="0" w:color="auto"/>
              <w:right w:val="single" w:sz="4" w:space="0" w:color="auto"/>
            </w:tcBorders>
          </w:tcPr>
          <w:p w:rsidR="00350E4B" w:rsidRPr="00027CB2" w:rsidRDefault="00350E4B" w:rsidP="00296854">
            <w:pPr>
              <w:pStyle w:val="Default"/>
              <w:rPr>
                <w:rFonts w:asciiTheme="minorHAnsi" w:hAnsiTheme="minorHAnsi" w:cstheme="minorHAnsi"/>
                <w:color w:val="auto"/>
                <w:sz w:val="22"/>
                <w:szCs w:val="22"/>
              </w:rPr>
            </w:pPr>
            <w:r>
              <w:rPr>
                <w:rFonts w:asciiTheme="minorHAnsi" w:hAnsiTheme="minorHAnsi" w:cstheme="minorHAnsi"/>
                <w:sz w:val="22"/>
                <w:szCs w:val="22"/>
              </w:rPr>
              <w:t>CIT endorses the</w:t>
            </w:r>
            <w:r w:rsidRPr="00027CB2">
              <w:rPr>
                <w:rFonts w:asciiTheme="minorHAnsi" w:hAnsiTheme="minorHAnsi" w:cstheme="minorHAnsi"/>
                <w:sz w:val="22"/>
                <w:szCs w:val="22"/>
              </w:rPr>
              <w:t xml:space="preserve"> “open </w:t>
            </w:r>
            <w:r>
              <w:rPr>
                <w:rFonts w:asciiTheme="minorHAnsi" w:hAnsiTheme="minorHAnsi" w:cstheme="minorHAnsi"/>
                <w:sz w:val="22"/>
                <w:szCs w:val="22"/>
              </w:rPr>
              <w:t xml:space="preserve">door protocol” promoted by the </w:t>
            </w:r>
            <w:r w:rsidRPr="00027CB2">
              <w:rPr>
                <w:rFonts w:asciiTheme="minorHAnsi" w:hAnsiTheme="minorHAnsi" w:cstheme="minorHAnsi"/>
                <w:sz w:val="22"/>
                <w:szCs w:val="22"/>
              </w:rPr>
              <w:t xml:space="preserve">ACT Public Service RED Framework. </w:t>
            </w:r>
            <w:r>
              <w:rPr>
                <w:rFonts w:asciiTheme="minorHAnsi" w:hAnsiTheme="minorHAnsi" w:cstheme="minorHAnsi"/>
                <w:sz w:val="22"/>
                <w:szCs w:val="22"/>
              </w:rPr>
              <w:t xml:space="preserve"> </w:t>
            </w:r>
            <w:r w:rsidRPr="00027CB2">
              <w:rPr>
                <w:rFonts w:asciiTheme="minorHAnsi" w:hAnsiTheme="minorHAnsi" w:cstheme="minorHAnsi"/>
                <w:sz w:val="22"/>
                <w:szCs w:val="22"/>
              </w:rPr>
              <w:t>This means that any employee can seek support and guidance from a CIT manager.</w:t>
            </w:r>
          </w:p>
        </w:tc>
      </w:tr>
      <w:tr w:rsidR="00350E4B" w:rsidRPr="00027CB2" w:rsidTr="00296854">
        <w:tc>
          <w:tcPr>
            <w:tcW w:w="1908" w:type="dxa"/>
            <w:tcBorders>
              <w:top w:val="single" w:sz="4" w:space="0" w:color="auto"/>
              <w:left w:val="single" w:sz="4" w:space="0" w:color="auto"/>
              <w:bottom w:val="single" w:sz="4" w:space="0" w:color="auto"/>
              <w:right w:val="single" w:sz="4" w:space="0" w:color="auto"/>
            </w:tcBorders>
          </w:tcPr>
          <w:p w:rsidR="00350E4B" w:rsidRPr="00027CB2" w:rsidRDefault="00350E4B" w:rsidP="00066BAB">
            <w:pPr>
              <w:pStyle w:val="BodyText"/>
            </w:pPr>
            <w:r w:rsidRPr="00027CB2">
              <w:t>Employee Assistance Program</w:t>
            </w:r>
          </w:p>
        </w:tc>
        <w:tc>
          <w:tcPr>
            <w:tcW w:w="6660" w:type="dxa"/>
            <w:tcBorders>
              <w:top w:val="single" w:sz="4" w:space="0" w:color="auto"/>
              <w:left w:val="single" w:sz="4" w:space="0" w:color="auto"/>
              <w:bottom w:val="single" w:sz="4" w:space="0" w:color="auto"/>
              <w:right w:val="single" w:sz="4" w:space="0" w:color="auto"/>
            </w:tcBorders>
          </w:tcPr>
          <w:p w:rsidR="00350E4B" w:rsidRPr="00027CB2" w:rsidRDefault="00350E4B" w:rsidP="00564B1C">
            <w:pPr>
              <w:pStyle w:val="Default"/>
              <w:rPr>
                <w:rFonts w:asciiTheme="minorHAnsi" w:hAnsiTheme="minorHAnsi" w:cstheme="minorHAnsi"/>
                <w:color w:val="auto"/>
                <w:sz w:val="22"/>
                <w:szCs w:val="22"/>
              </w:rPr>
            </w:pPr>
            <w:r w:rsidRPr="00027CB2">
              <w:rPr>
                <w:rFonts w:asciiTheme="minorHAnsi" w:hAnsiTheme="minorHAnsi" w:cstheme="minorHAnsi"/>
                <w:color w:val="auto"/>
                <w:sz w:val="22"/>
                <w:szCs w:val="22"/>
              </w:rPr>
              <w:t xml:space="preserve">The </w:t>
            </w:r>
            <w:hyperlink r:id="rId13" w:history="1">
              <w:r w:rsidRPr="00027CB2">
                <w:rPr>
                  <w:rFonts w:asciiTheme="minorHAnsi" w:hAnsiTheme="minorHAnsi" w:cstheme="minorHAnsi"/>
                  <w:color w:val="auto"/>
                  <w:sz w:val="22"/>
                  <w:szCs w:val="22"/>
                </w:rPr>
                <w:t>EAP</w:t>
              </w:r>
            </w:hyperlink>
            <w:r w:rsidRPr="00027CB2">
              <w:rPr>
                <w:rFonts w:asciiTheme="minorHAnsi" w:hAnsiTheme="minorHAnsi" w:cstheme="minorHAnsi"/>
                <w:color w:val="auto"/>
                <w:sz w:val="22"/>
                <w:szCs w:val="22"/>
              </w:rPr>
              <w:t xml:space="preserve"> is a confidential, free </w:t>
            </w:r>
            <w:r w:rsidR="00564B1C">
              <w:rPr>
                <w:rFonts w:asciiTheme="minorHAnsi" w:hAnsiTheme="minorHAnsi" w:cstheme="minorHAnsi"/>
                <w:color w:val="auto"/>
                <w:sz w:val="22"/>
                <w:szCs w:val="22"/>
              </w:rPr>
              <w:t xml:space="preserve">counselling </w:t>
            </w:r>
            <w:r w:rsidRPr="00027CB2">
              <w:rPr>
                <w:rFonts w:asciiTheme="minorHAnsi" w:hAnsiTheme="minorHAnsi" w:cstheme="minorHAnsi"/>
                <w:color w:val="auto"/>
                <w:sz w:val="22"/>
                <w:szCs w:val="22"/>
              </w:rPr>
              <w:t>service</w:t>
            </w:r>
            <w:r w:rsidR="00564B1C">
              <w:rPr>
                <w:rFonts w:asciiTheme="minorHAnsi" w:hAnsiTheme="minorHAnsi" w:cstheme="minorHAnsi"/>
                <w:color w:val="auto"/>
                <w:sz w:val="22"/>
                <w:szCs w:val="22"/>
              </w:rPr>
              <w:t xml:space="preserve"> available 24/7</w:t>
            </w:r>
            <w:r w:rsidRPr="00027CB2">
              <w:rPr>
                <w:rFonts w:asciiTheme="minorHAnsi" w:hAnsiTheme="minorHAnsi" w:cstheme="minorHAnsi"/>
                <w:color w:val="auto"/>
                <w:sz w:val="22"/>
                <w:szCs w:val="22"/>
              </w:rPr>
              <w:t>.</w:t>
            </w:r>
          </w:p>
        </w:tc>
      </w:tr>
      <w:tr w:rsidR="00350E4B" w:rsidRPr="00027CB2" w:rsidTr="00296854">
        <w:tc>
          <w:tcPr>
            <w:tcW w:w="1908" w:type="dxa"/>
            <w:tcBorders>
              <w:top w:val="single" w:sz="4" w:space="0" w:color="auto"/>
              <w:left w:val="single" w:sz="4" w:space="0" w:color="auto"/>
              <w:bottom w:val="single" w:sz="4" w:space="0" w:color="auto"/>
              <w:right w:val="single" w:sz="4" w:space="0" w:color="auto"/>
            </w:tcBorders>
          </w:tcPr>
          <w:p w:rsidR="00350E4B" w:rsidRPr="00027CB2" w:rsidRDefault="00350E4B" w:rsidP="00066BAB">
            <w:pPr>
              <w:pStyle w:val="BodyText"/>
            </w:pPr>
            <w:r w:rsidRPr="00027CB2">
              <w:t>EAP -</w:t>
            </w:r>
            <w:r w:rsidR="00361F48">
              <w:t xml:space="preserve"> </w:t>
            </w:r>
            <w:r w:rsidRPr="00027CB2">
              <w:t>Manager Assist</w:t>
            </w:r>
          </w:p>
        </w:tc>
        <w:tc>
          <w:tcPr>
            <w:tcW w:w="6660" w:type="dxa"/>
            <w:tcBorders>
              <w:top w:val="single" w:sz="4" w:space="0" w:color="auto"/>
              <w:left w:val="single" w:sz="4" w:space="0" w:color="auto"/>
              <w:bottom w:val="single" w:sz="4" w:space="0" w:color="auto"/>
              <w:right w:val="single" w:sz="4" w:space="0" w:color="auto"/>
            </w:tcBorders>
          </w:tcPr>
          <w:p w:rsidR="00350E4B" w:rsidRPr="00027CB2" w:rsidRDefault="00350E4B" w:rsidP="00564B1C">
            <w:pPr>
              <w:pStyle w:val="Default"/>
              <w:rPr>
                <w:rFonts w:asciiTheme="minorHAnsi" w:hAnsiTheme="minorHAnsi" w:cstheme="minorHAnsi"/>
                <w:color w:val="auto"/>
                <w:sz w:val="22"/>
                <w:szCs w:val="22"/>
              </w:rPr>
            </w:pPr>
            <w:r w:rsidRPr="00027CB2">
              <w:rPr>
                <w:rFonts w:asciiTheme="minorHAnsi" w:hAnsiTheme="minorHAnsi" w:cstheme="minorHAnsi"/>
                <w:color w:val="auto"/>
                <w:sz w:val="22"/>
                <w:szCs w:val="22"/>
              </w:rPr>
              <w:t xml:space="preserve">Manager Assist is </w:t>
            </w:r>
            <w:r w:rsidR="00564B1C">
              <w:rPr>
                <w:rFonts w:asciiTheme="minorHAnsi" w:hAnsiTheme="minorHAnsi" w:cstheme="minorHAnsi"/>
                <w:color w:val="auto"/>
                <w:sz w:val="22"/>
                <w:szCs w:val="22"/>
              </w:rPr>
              <w:t>an extension of the EAP service for managers and manager specific issues.</w:t>
            </w:r>
          </w:p>
        </w:tc>
      </w:tr>
      <w:tr w:rsidR="00350E4B" w:rsidRPr="00027CB2" w:rsidTr="00296854">
        <w:tc>
          <w:tcPr>
            <w:tcW w:w="1908" w:type="dxa"/>
            <w:tcBorders>
              <w:top w:val="single" w:sz="4" w:space="0" w:color="auto"/>
              <w:left w:val="single" w:sz="4" w:space="0" w:color="auto"/>
              <w:bottom w:val="single" w:sz="4" w:space="0" w:color="auto"/>
              <w:right w:val="single" w:sz="4" w:space="0" w:color="auto"/>
            </w:tcBorders>
          </w:tcPr>
          <w:p w:rsidR="00350E4B" w:rsidRPr="00027CB2" w:rsidRDefault="00350E4B" w:rsidP="00066BAB">
            <w:pPr>
              <w:pStyle w:val="BodyText"/>
            </w:pPr>
            <w:r w:rsidRPr="00027CB2">
              <w:t xml:space="preserve">Union representative </w:t>
            </w:r>
          </w:p>
        </w:tc>
        <w:tc>
          <w:tcPr>
            <w:tcW w:w="6660" w:type="dxa"/>
            <w:tcBorders>
              <w:top w:val="single" w:sz="4" w:space="0" w:color="auto"/>
              <w:left w:val="single" w:sz="4" w:space="0" w:color="auto"/>
              <w:bottom w:val="single" w:sz="4" w:space="0" w:color="auto"/>
              <w:right w:val="single" w:sz="4" w:space="0" w:color="auto"/>
            </w:tcBorders>
          </w:tcPr>
          <w:p w:rsidR="00350E4B" w:rsidRPr="00027CB2" w:rsidRDefault="000C39B4" w:rsidP="00296854">
            <w:pPr>
              <w:pStyle w:val="Default"/>
              <w:rPr>
                <w:rFonts w:asciiTheme="minorHAnsi" w:hAnsiTheme="minorHAnsi" w:cstheme="minorHAnsi"/>
                <w:sz w:val="22"/>
                <w:szCs w:val="22"/>
              </w:rPr>
            </w:pPr>
            <w:r>
              <w:rPr>
                <w:rFonts w:asciiTheme="minorHAnsi" w:hAnsiTheme="minorHAnsi" w:cstheme="minorHAnsi"/>
                <w:sz w:val="22"/>
                <w:szCs w:val="22"/>
              </w:rPr>
              <w:t>Contact your relevant Union.</w:t>
            </w:r>
          </w:p>
        </w:tc>
      </w:tr>
    </w:tbl>
    <w:p w:rsidR="00350E4B" w:rsidRPr="00027CB2" w:rsidRDefault="00350E4B" w:rsidP="00066BAB">
      <w:r w:rsidRPr="00027CB2">
        <w:tab/>
      </w:r>
    </w:p>
    <w:p w:rsidR="000C39B4" w:rsidRDefault="000C39B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920"/>
      </w:tblGrid>
      <w:tr w:rsidR="00350E4B" w:rsidRPr="00027CB2" w:rsidTr="00296854">
        <w:tc>
          <w:tcPr>
            <w:tcW w:w="8720" w:type="dxa"/>
            <w:gridSpan w:val="2"/>
            <w:shd w:val="clear" w:color="auto" w:fill="DBE5F1" w:themeFill="accent1" w:themeFillTint="33"/>
          </w:tcPr>
          <w:p w:rsidR="00350E4B" w:rsidRPr="000C39B4" w:rsidRDefault="000C39B4" w:rsidP="00296854">
            <w:pPr>
              <w:pStyle w:val="Heading2"/>
              <w:numPr>
                <w:ilvl w:val="0"/>
                <w:numId w:val="0"/>
              </w:numPr>
              <w:spacing w:before="60"/>
            </w:pPr>
            <w:bookmarkStart w:id="16" w:name="_Toc166421"/>
            <w:r w:rsidRPr="000C39B4">
              <w:lastRenderedPageBreak/>
              <w:t>Table 4</w:t>
            </w:r>
            <w:r w:rsidR="00350E4B" w:rsidRPr="000C39B4">
              <w:t xml:space="preserve"> - Definitions relating to policy and procedure</w:t>
            </w:r>
            <w:bookmarkEnd w:id="16"/>
          </w:p>
        </w:tc>
      </w:tr>
      <w:tr w:rsidR="00350E4B" w:rsidRPr="00027CB2" w:rsidTr="00296854">
        <w:tc>
          <w:tcPr>
            <w:tcW w:w="1800" w:type="dxa"/>
            <w:shd w:val="clear" w:color="auto" w:fill="auto"/>
          </w:tcPr>
          <w:p w:rsidR="00350E4B" w:rsidRPr="00027CB2" w:rsidRDefault="00350E4B" w:rsidP="00066BAB">
            <w:r w:rsidRPr="00027CB2">
              <w:t>RED Contact officer</w:t>
            </w:r>
          </w:p>
        </w:tc>
        <w:tc>
          <w:tcPr>
            <w:tcW w:w="6920" w:type="dxa"/>
            <w:shd w:val="clear" w:color="auto" w:fill="auto"/>
          </w:tcPr>
          <w:p w:rsidR="00350E4B" w:rsidRPr="00027CB2" w:rsidRDefault="00350E4B" w:rsidP="00066BAB">
            <w:r w:rsidRPr="00027CB2">
              <w:t>A trained officer available to staff to provide advice on how to raise workplace issues and support mechanisms available.</w:t>
            </w:r>
          </w:p>
        </w:tc>
      </w:tr>
      <w:tr w:rsidR="00350E4B" w:rsidRPr="00027CB2" w:rsidTr="00296854">
        <w:tc>
          <w:tcPr>
            <w:tcW w:w="1800" w:type="dxa"/>
            <w:shd w:val="clear" w:color="auto" w:fill="auto"/>
          </w:tcPr>
          <w:p w:rsidR="00350E4B" w:rsidRPr="00027CB2" w:rsidRDefault="00350E4B" w:rsidP="00066BAB">
            <w:r w:rsidRPr="00027CB2">
              <w:t>Complainant</w:t>
            </w:r>
          </w:p>
        </w:tc>
        <w:tc>
          <w:tcPr>
            <w:tcW w:w="6920" w:type="dxa"/>
            <w:shd w:val="clear" w:color="auto" w:fill="auto"/>
          </w:tcPr>
          <w:p w:rsidR="00350E4B" w:rsidRPr="00027CB2" w:rsidRDefault="00350E4B" w:rsidP="00066BAB">
            <w:r w:rsidRPr="00027CB2">
              <w:t xml:space="preserve">A person </w:t>
            </w:r>
            <w:r>
              <w:t>raising</w:t>
            </w:r>
            <w:r w:rsidRPr="00027CB2">
              <w:t xml:space="preserve"> the workplace issue.</w:t>
            </w:r>
          </w:p>
        </w:tc>
      </w:tr>
      <w:tr w:rsidR="00350E4B" w:rsidRPr="00027CB2" w:rsidTr="00296854">
        <w:tc>
          <w:tcPr>
            <w:tcW w:w="1800" w:type="dxa"/>
            <w:shd w:val="clear" w:color="auto" w:fill="auto"/>
          </w:tcPr>
          <w:p w:rsidR="00350E4B" w:rsidRPr="00027CB2" w:rsidRDefault="00350E4B" w:rsidP="00066BAB">
            <w:r w:rsidRPr="00027CB2">
              <w:t>Workplace Issue Manager</w:t>
            </w:r>
          </w:p>
        </w:tc>
        <w:tc>
          <w:tcPr>
            <w:tcW w:w="6920" w:type="dxa"/>
            <w:shd w:val="clear" w:color="auto" w:fill="auto"/>
          </w:tcPr>
          <w:p w:rsidR="00350E4B" w:rsidRPr="00027CB2" w:rsidRDefault="00350E4B" w:rsidP="00066BAB">
            <w:r w:rsidRPr="00027CB2">
              <w:t>The delegate of the Executive Director</w:t>
            </w:r>
            <w:r>
              <w:t xml:space="preserve">, </w:t>
            </w:r>
            <w:r w:rsidR="00CA0A4C">
              <w:t xml:space="preserve">Corporate Services or Senior Director, Human Resources and Organisational Development </w:t>
            </w:r>
            <w:r>
              <w:t>assigned to manage the</w:t>
            </w:r>
            <w:r w:rsidRPr="00027CB2">
              <w:t xml:space="preserve"> resolution of the workplace issue.</w:t>
            </w:r>
          </w:p>
        </w:tc>
      </w:tr>
      <w:tr w:rsidR="00350E4B" w:rsidRPr="00027CB2" w:rsidTr="00296854">
        <w:tc>
          <w:tcPr>
            <w:tcW w:w="1800" w:type="dxa"/>
            <w:shd w:val="clear" w:color="auto" w:fill="auto"/>
          </w:tcPr>
          <w:p w:rsidR="00350E4B" w:rsidRPr="00027CB2" w:rsidRDefault="00387288" w:rsidP="00066BAB">
            <w:r>
              <w:t>Complaint Handling System</w:t>
            </w:r>
          </w:p>
        </w:tc>
        <w:tc>
          <w:tcPr>
            <w:tcW w:w="6920" w:type="dxa"/>
            <w:shd w:val="clear" w:color="auto" w:fill="auto"/>
          </w:tcPr>
          <w:p w:rsidR="00350E4B" w:rsidRPr="00027CB2" w:rsidRDefault="00350E4B" w:rsidP="00747C79">
            <w:r>
              <w:t>Complaint Handling System</w:t>
            </w:r>
            <w:r w:rsidR="00747C79">
              <w:t xml:space="preserve"> is a</w:t>
            </w:r>
            <w:r>
              <w:t xml:space="preserve"> secure electronic database to support record keeping processes</w:t>
            </w:r>
            <w:r w:rsidR="00747C79">
              <w:t>.</w:t>
            </w:r>
          </w:p>
        </w:tc>
      </w:tr>
      <w:tr w:rsidR="00350E4B" w:rsidRPr="00027CB2" w:rsidTr="00296854">
        <w:tc>
          <w:tcPr>
            <w:tcW w:w="1800" w:type="dxa"/>
            <w:shd w:val="clear" w:color="auto" w:fill="auto"/>
          </w:tcPr>
          <w:p w:rsidR="00350E4B" w:rsidRPr="00027CB2" w:rsidRDefault="00350E4B" w:rsidP="00066BAB">
            <w:r w:rsidRPr="00027CB2">
              <w:t>Confidentiality</w:t>
            </w:r>
          </w:p>
        </w:tc>
        <w:tc>
          <w:tcPr>
            <w:tcW w:w="6920" w:type="dxa"/>
            <w:shd w:val="clear" w:color="auto" w:fill="auto"/>
          </w:tcPr>
          <w:p w:rsidR="00350E4B" w:rsidRPr="00027CB2" w:rsidRDefault="00350E4B" w:rsidP="00066BAB">
            <w:r w:rsidRPr="00027CB2">
              <w:t>All matters raised are confidential. Information regarding an invest</w:t>
            </w:r>
            <w:r>
              <w:t>igation should only be provided</w:t>
            </w:r>
            <w:r w:rsidRPr="00027CB2">
              <w:t xml:space="preserve"> on a ‘need to know’ basis.</w:t>
            </w:r>
          </w:p>
          <w:p w:rsidR="00350E4B" w:rsidRPr="00027CB2" w:rsidRDefault="00350E4B" w:rsidP="00066BAB">
            <w:pPr>
              <w:rPr>
                <w:b/>
              </w:rPr>
            </w:pPr>
            <w:r w:rsidRPr="00027CB2">
              <w:t xml:space="preserve">Employees raising a workplace issue should be advised that in some cases due to legislative requirements no absolute guarantee of confidentiality can be given.  </w:t>
            </w:r>
          </w:p>
        </w:tc>
      </w:tr>
      <w:tr w:rsidR="00350E4B" w:rsidRPr="00027CB2" w:rsidTr="00296854">
        <w:tc>
          <w:tcPr>
            <w:tcW w:w="1800" w:type="dxa"/>
            <w:shd w:val="clear" w:color="auto" w:fill="auto"/>
          </w:tcPr>
          <w:p w:rsidR="00350E4B" w:rsidRPr="00027CB2" w:rsidRDefault="00350E4B" w:rsidP="00066BAB">
            <w:r w:rsidRPr="00027CB2">
              <w:t>Conflict of Interest</w:t>
            </w:r>
          </w:p>
        </w:tc>
        <w:tc>
          <w:tcPr>
            <w:tcW w:w="6920" w:type="dxa"/>
            <w:shd w:val="clear" w:color="auto" w:fill="auto"/>
          </w:tcPr>
          <w:p w:rsidR="00350E4B" w:rsidRPr="00027CB2" w:rsidRDefault="00350E4B" w:rsidP="00066BAB">
            <w:r w:rsidRPr="00027CB2">
              <w:t>Conflict of interest occurs when actions or decisions that are influenced by, or perceived to be influenced by, personal cons</w:t>
            </w:r>
            <w:r>
              <w:t xml:space="preserve">iderations reflect badly on </w:t>
            </w:r>
            <w:r w:rsidRPr="00027CB2">
              <w:t xml:space="preserve">CIT. </w:t>
            </w:r>
          </w:p>
          <w:p w:rsidR="00350E4B" w:rsidRPr="00027CB2" w:rsidRDefault="00350E4B" w:rsidP="00782C8E">
            <w:pPr>
              <w:pStyle w:val="ListParagraph"/>
              <w:numPr>
                <w:ilvl w:val="0"/>
                <w:numId w:val="3"/>
              </w:numPr>
            </w:pPr>
            <w:r>
              <w:t>a</w:t>
            </w:r>
            <w:r w:rsidRPr="00027CB2">
              <w:t>ction is required when there is an actual conflict of interest or when there may be a perception of conflict;</w:t>
            </w:r>
          </w:p>
          <w:p w:rsidR="00350E4B" w:rsidRPr="00027CB2" w:rsidRDefault="00350E4B" w:rsidP="00782C8E">
            <w:pPr>
              <w:pStyle w:val="ListParagraph"/>
              <w:numPr>
                <w:ilvl w:val="0"/>
                <w:numId w:val="3"/>
              </w:numPr>
            </w:pPr>
            <w:r>
              <w:t>e</w:t>
            </w:r>
            <w:r w:rsidRPr="00027CB2">
              <w:t>xisting and potential conflicts must be declared; and</w:t>
            </w:r>
          </w:p>
          <w:p w:rsidR="00350E4B" w:rsidRPr="00C26902" w:rsidRDefault="00350E4B" w:rsidP="00782C8E">
            <w:pPr>
              <w:pStyle w:val="ListParagraph"/>
              <w:numPr>
                <w:ilvl w:val="0"/>
                <w:numId w:val="3"/>
              </w:numPr>
              <w:rPr>
                <w:b/>
                <w:color w:val="303030"/>
              </w:rPr>
            </w:pPr>
            <w:r>
              <w:t>p</w:t>
            </w:r>
            <w:r w:rsidRPr="00027CB2">
              <w:t>rocedures must be open, accountable and documented.</w:t>
            </w:r>
          </w:p>
        </w:tc>
      </w:tr>
      <w:tr w:rsidR="00350E4B" w:rsidRPr="00027CB2" w:rsidTr="00296854">
        <w:tc>
          <w:tcPr>
            <w:tcW w:w="1800" w:type="dxa"/>
            <w:shd w:val="clear" w:color="auto" w:fill="auto"/>
          </w:tcPr>
          <w:p w:rsidR="00350E4B" w:rsidRPr="00027CB2" w:rsidRDefault="00350E4B" w:rsidP="00066BAB">
            <w:r w:rsidRPr="00027CB2">
              <w:t>HSR</w:t>
            </w:r>
          </w:p>
        </w:tc>
        <w:tc>
          <w:tcPr>
            <w:tcW w:w="6920" w:type="dxa"/>
            <w:shd w:val="clear" w:color="auto" w:fill="auto"/>
          </w:tcPr>
          <w:p w:rsidR="00350E4B" w:rsidRPr="00027CB2" w:rsidRDefault="00350E4B" w:rsidP="00066BAB">
            <w:r w:rsidRPr="00027CB2">
              <w:t>Health and Safety Representative</w:t>
            </w:r>
          </w:p>
        </w:tc>
      </w:tr>
      <w:tr w:rsidR="00350E4B" w:rsidRPr="00027CB2" w:rsidTr="00296854">
        <w:tc>
          <w:tcPr>
            <w:tcW w:w="1800" w:type="dxa"/>
            <w:shd w:val="clear" w:color="auto" w:fill="auto"/>
          </w:tcPr>
          <w:p w:rsidR="00350E4B" w:rsidRPr="00027CB2" w:rsidRDefault="00350E4B" w:rsidP="00066BAB">
            <w:r w:rsidRPr="00027CB2">
              <w:t>Natural Justice /Procedural Fairness</w:t>
            </w:r>
          </w:p>
        </w:tc>
        <w:tc>
          <w:tcPr>
            <w:tcW w:w="6920" w:type="dxa"/>
            <w:shd w:val="clear" w:color="auto" w:fill="auto"/>
          </w:tcPr>
          <w:p w:rsidR="00350E4B" w:rsidRPr="00027CB2" w:rsidRDefault="00350E4B" w:rsidP="00066BAB">
            <w:r w:rsidRPr="00027CB2">
              <w:t>Procedural fairness, also called natural justice, applies to any decision (action or inaction) that can affect the rights, interests or expectations of an individual in a direc</w:t>
            </w:r>
            <w:r>
              <w:t>t or immediate way.  It requires:</w:t>
            </w:r>
          </w:p>
          <w:p w:rsidR="00350E4B" w:rsidRPr="00027CB2" w:rsidRDefault="00350E4B" w:rsidP="00782C8E">
            <w:pPr>
              <w:pStyle w:val="ListParagraph"/>
              <w:numPr>
                <w:ilvl w:val="0"/>
                <w:numId w:val="1"/>
              </w:numPr>
            </w:pPr>
            <w:r w:rsidRPr="00027CB2">
              <w:t>individuals are given an opportunity to be heard;</w:t>
            </w:r>
          </w:p>
          <w:p w:rsidR="00350E4B" w:rsidRPr="00027CB2" w:rsidRDefault="00350E4B" w:rsidP="00782C8E">
            <w:pPr>
              <w:pStyle w:val="ListParagraph"/>
              <w:numPr>
                <w:ilvl w:val="0"/>
                <w:numId w:val="1"/>
              </w:numPr>
            </w:pPr>
            <w:r w:rsidRPr="00027CB2">
              <w:t xml:space="preserve">decision makers act without bias or self-interest, </w:t>
            </w:r>
          </w:p>
          <w:p w:rsidR="00350E4B" w:rsidRPr="00027CB2" w:rsidRDefault="00350E4B" w:rsidP="00782C8E">
            <w:pPr>
              <w:pStyle w:val="ListParagraph"/>
              <w:numPr>
                <w:ilvl w:val="0"/>
                <w:numId w:val="1"/>
              </w:numPr>
            </w:pPr>
            <w:r w:rsidRPr="00027CB2">
              <w:t xml:space="preserve">decision makers base their decisions on evidence that is relevant to the facts in issue. i.e. </w:t>
            </w:r>
          </w:p>
          <w:p w:rsidR="00350E4B" w:rsidRPr="00027CB2" w:rsidRDefault="00350E4B" w:rsidP="00782C8E">
            <w:pPr>
              <w:pStyle w:val="ListParagraph"/>
              <w:numPr>
                <w:ilvl w:val="1"/>
                <w:numId w:val="1"/>
              </w:numPr>
            </w:pPr>
            <w:r w:rsidRPr="00027CB2">
              <w:t>All relevant matters are considered when reaching a recommendation/decision</w:t>
            </w:r>
          </w:p>
          <w:p w:rsidR="00350E4B" w:rsidRDefault="00350E4B" w:rsidP="00782C8E">
            <w:pPr>
              <w:pStyle w:val="ListParagraph"/>
              <w:numPr>
                <w:ilvl w:val="1"/>
                <w:numId w:val="1"/>
              </w:numPr>
            </w:pPr>
            <w:r w:rsidRPr="00027CB2">
              <w:t>Irrelevant matters are not given weight in reaching a decision</w:t>
            </w:r>
          </w:p>
          <w:p w:rsidR="00350E4B" w:rsidRPr="00027CB2" w:rsidRDefault="00350E4B" w:rsidP="00066BAB">
            <w:r w:rsidRPr="00027CB2">
              <w:t xml:space="preserve">These principles are known as the hearing rule, the bias rule and the evidence rule (see definitions below). </w:t>
            </w:r>
          </w:p>
        </w:tc>
      </w:tr>
      <w:tr w:rsidR="00350E4B" w:rsidRPr="00027CB2" w:rsidTr="00296854">
        <w:tc>
          <w:tcPr>
            <w:tcW w:w="1800" w:type="dxa"/>
            <w:shd w:val="clear" w:color="auto" w:fill="auto"/>
          </w:tcPr>
          <w:p w:rsidR="00350E4B" w:rsidRPr="00027CB2" w:rsidRDefault="00350E4B" w:rsidP="00066BAB">
            <w:r w:rsidRPr="00027CB2">
              <w:t xml:space="preserve"> Parties</w:t>
            </w:r>
          </w:p>
        </w:tc>
        <w:tc>
          <w:tcPr>
            <w:tcW w:w="6920" w:type="dxa"/>
            <w:shd w:val="clear" w:color="auto" w:fill="auto"/>
          </w:tcPr>
          <w:p w:rsidR="00350E4B" w:rsidRPr="00027CB2" w:rsidRDefault="00350E4B" w:rsidP="00066BAB">
            <w:r w:rsidRPr="00027CB2">
              <w:t>The complainant, respondent and those involved in managing the workplace issue</w:t>
            </w:r>
            <w:r>
              <w:t>.</w:t>
            </w:r>
          </w:p>
        </w:tc>
      </w:tr>
      <w:tr w:rsidR="00350E4B" w:rsidRPr="00027CB2" w:rsidTr="00296854">
        <w:tc>
          <w:tcPr>
            <w:tcW w:w="1800" w:type="dxa"/>
            <w:shd w:val="clear" w:color="auto" w:fill="auto"/>
          </w:tcPr>
          <w:p w:rsidR="00350E4B" w:rsidRPr="00027CB2" w:rsidRDefault="00350E4B" w:rsidP="00066BAB">
            <w:r w:rsidRPr="00027CB2">
              <w:t xml:space="preserve">Open Door </w:t>
            </w:r>
            <w:r w:rsidRPr="00027CB2">
              <w:lastRenderedPageBreak/>
              <w:t>Protocol</w:t>
            </w:r>
          </w:p>
        </w:tc>
        <w:tc>
          <w:tcPr>
            <w:tcW w:w="6920" w:type="dxa"/>
            <w:shd w:val="clear" w:color="auto" w:fill="auto"/>
          </w:tcPr>
          <w:p w:rsidR="00350E4B" w:rsidRPr="00027CB2" w:rsidRDefault="00350E4B" w:rsidP="00066BAB">
            <w:r w:rsidRPr="00027CB2">
              <w:lastRenderedPageBreak/>
              <w:t xml:space="preserve">A work practice in which a supervisor, manager, executive or chief executive leaves their door "open" (figuratively speaking) in order to </w:t>
            </w:r>
            <w:r w:rsidRPr="00027CB2">
              <w:lastRenderedPageBreak/>
              <w:t>encourage productive communication among workers of the department, agency and at times between agencies.</w:t>
            </w:r>
          </w:p>
        </w:tc>
      </w:tr>
      <w:tr w:rsidR="00350E4B" w:rsidRPr="00027CB2" w:rsidTr="00296854">
        <w:tc>
          <w:tcPr>
            <w:tcW w:w="1800" w:type="dxa"/>
            <w:shd w:val="clear" w:color="auto" w:fill="auto"/>
          </w:tcPr>
          <w:p w:rsidR="00350E4B" w:rsidRPr="00027CB2" w:rsidRDefault="00350E4B" w:rsidP="00066BAB">
            <w:r w:rsidRPr="00027CB2">
              <w:lastRenderedPageBreak/>
              <w:t>Respondent</w:t>
            </w:r>
          </w:p>
        </w:tc>
        <w:tc>
          <w:tcPr>
            <w:tcW w:w="6920" w:type="dxa"/>
            <w:shd w:val="clear" w:color="auto" w:fill="auto"/>
          </w:tcPr>
          <w:p w:rsidR="00350E4B" w:rsidRPr="00027CB2" w:rsidRDefault="00350E4B" w:rsidP="00066BAB">
            <w:r>
              <w:t>CIT</w:t>
            </w:r>
            <w:r w:rsidRPr="00027CB2">
              <w:t xml:space="preserve"> or person(s) about whom the workplace issue or grievance is lodged</w:t>
            </w:r>
          </w:p>
        </w:tc>
      </w:tr>
      <w:tr w:rsidR="00350E4B" w:rsidRPr="00027CB2" w:rsidTr="00296854">
        <w:tc>
          <w:tcPr>
            <w:tcW w:w="1800" w:type="dxa"/>
            <w:shd w:val="clear" w:color="auto" w:fill="auto"/>
          </w:tcPr>
          <w:p w:rsidR="00350E4B" w:rsidRPr="00027CB2" w:rsidRDefault="00350E4B" w:rsidP="00066BAB">
            <w:r w:rsidRPr="00027CB2">
              <w:t xml:space="preserve">The right to a fair hearing </w:t>
            </w:r>
          </w:p>
          <w:p w:rsidR="00350E4B" w:rsidRPr="00027CB2" w:rsidRDefault="00350E4B" w:rsidP="00066BAB"/>
          <w:p w:rsidR="00350E4B" w:rsidRPr="00027CB2" w:rsidRDefault="00350E4B" w:rsidP="00066BAB"/>
          <w:p w:rsidR="00350E4B" w:rsidRPr="00027CB2" w:rsidRDefault="00350E4B" w:rsidP="00066BAB"/>
          <w:p w:rsidR="00350E4B" w:rsidRPr="00027CB2" w:rsidRDefault="00350E4B" w:rsidP="00066BAB"/>
          <w:p w:rsidR="00350E4B" w:rsidRPr="00027CB2" w:rsidRDefault="00350E4B" w:rsidP="00066BAB"/>
          <w:p w:rsidR="00350E4B" w:rsidRPr="00027CB2" w:rsidRDefault="00350E4B" w:rsidP="00066BAB"/>
          <w:p w:rsidR="00350E4B" w:rsidRPr="00027CB2" w:rsidRDefault="00350E4B" w:rsidP="00066BAB"/>
        </w:tc>
        <w:tc>
          <w:tcPr>
            <w:tcW w:w="6920" w:type="dxa"/>
            <w:shd w:val="clear" w:color="auto" w:fill="auto"/>
          </w:tcPr>
          <w:p w:rsidR="00350E4B" w:rsidRPr="00027CB2" w:rsidRDefault="00350E4B" w:rsidP="00066BAB">
            <w:r w:rsidRPr="00027CB2">
              <w:t>This requires a decision</w:t>
            </w:r>
            <w:r w:rsidR="008D653E">
              <w:t>-</w:t>
            </w:r>
            <w:r w:rsidRPr="00027CB2">
              <w:t>maker, where possible, to allow a person, whose interests may be adversely affected by a decision, to present his or her case before a decision is made.</w:t>
            </w:r>
          </w:p>
          <w:p w:rsidR="00350E4B" w:rsidRPr="00027CB2" w:rsidRDefault="00350E4B" w:rsidP="00782C8E">
            <w:pPr>
              <w:pStyle w:val="ListParagraph"/>
              <w:numPr>
                <w:ilvl w:val="0"/>
                <w:numId w:val="2"/>
              </w:numPr>
            </w:pPr>
            <w:r w:rsidRPr="00027CB2">
              <w:t>The individual against whom an adverse decision may be made is informed of any allegation made against them in as much detail as possible and provided with an opportunity to respond to any allegations.</w:t>
            </w:r>
          </w:p>
          <w:p w:rsidR="00350E4B" w:rsidRPr="00027CB2" w:rsidRDefault="00350E4B" w:rsidP="00782C8E">
            <w:pPr>
              <w:pStyle w:val="ListParagraph"/>
              <w:numPr>
                <w:ilvl w:val="0"/>
                <w:numId w:val="2"/>
              </w:numPr>
            </w:pPr>
            <w:r w:rsidRPr="00027CB2">
              <w:t>The individual is given reasonable notice prior to any counselling/interview session and is advised and encouraged to bring a support person.</w:t>
            </w:r>
          </w:p>
          <w:p w:rsidR="00350E4B" w:rsidRPr="00027CB2" w:rsidRDefault="00350E4B" w:rsidP="00782C8E">
            <w:pPr>
              <w:pStyle w:val="ListParagraph"/>
              <w:numPr>
                <w:ilvl w:val="0"/>
                <w:numId w:val="2"/>
              </w:numPr>
            </w:pPr>
            <w:r w:rsidRPr="00027CB2">
              <w:t>Reasonable inquiries are made into the allegation including hearing any party with information relevant to the allegations.</w:t>
            </w:r>
          </w:p>
        </w:tc>
      </w:tr>
      <w:tr w:rsidR="00350E4B" w:rsidRPr="00027CB2" w:rsidTr="00296854">
        <w:tc>
          <w:tcPr>
            <w:tcW w:w="1800" w:type="dxa"/>
            <w:shd w:val="clear" w:color="auto" w:fill="auto"/>
          </w:tcPr>
          <w:p w:rsidR="00350E4B" w:rsidRPr="00027CB2" w:rsidRDefault="00350E4B" w:rsidP="00066BAB">
            <w:r w:rsidRPr="00027CB2">
              <w:t>The rule against bias</w:t>
            </w:r>
          </w:p>
          <w:p w:rsidR="00350E4B" w:rsidRPr="00027CB2" w:rsidRDefault="00350E4B" w:rsidP="00066BAB"/>
        </w:tc>
        <w:tc>
          <w:tcPr>
            <w:tcW w:w="6920" w:type="dxa"/>
            <w:shd w:val="clear" w:color="auto" w:fill="auto"/>
          </w:tcPr>
          <w:p w:rsidR="00350E4B" w:rsidRPr="00027CB2" w:rsidRDefault="00350E4B" w:rsidP="00066BAB">
            <w:r w:rsidRPr="00027CB2">
              <w:t>This requires a decision maker to be unbiased in relation to the matter to be decided.</w:t>
            </w:r>
          </w:p>
          <w:p w:rsidR="00350E4B" w:rsidRPr="00027CB2" w:rsidRDefault="00350E4B" w:rsidP="00066BAB">
            <w:r w:rsidRPr="00027CB2">
              <w:t xml:space="preserve">The decision maker does not hold, or can be perceived to hold, a vested interest in the outcome of the process.  </w:t>
            </w:r>
          </w:p>
        </w:tc>
      </w:tr>
      <w:tr w:rsidR="00350E4B" w:rsidRPr="00027CB2" w:rsidTr="00296854">
        <w:tc>
          <w:tcPr>
            <w:tcW w:w="1800" w:type="dxa"/>
            <w:shd w:val="clear" w:color="auto" w:fill="auto"/>
          </w:tcPr>
          <w:p w:rsidR="00350E4B" w:rsidRPr="00027CB2" w:rsidRDefault="00350E4B" w:rsidP="00066BAB">
            <w:r w:rsidRPr="00027CB2">
              <w:t>The evidence rule</w:t>
            </w:r>
          </w:p>
        </w:tc>
        <w:tc>
          <w:tcPr>
            <w:tcW w:w="6920" w:type="dxa"/>
            <w:shd w:val="clear" w:color="auto" w:fill="auto"/>
          </w:tcPr>
          <w:p w:rsidR="00350E4B" w:rsidRPr="00027CB2" w:rsidRDefault="00350E4B" w:rsidP="00066BAB">
            <w:r w:rsidRPr="00027CB2">
              <w:t>This requires that the decision be based upon evidence that is credible, relevant and significant</w:t>
            </w:r>
          </w:p>
        </w:tc>
      </w:tr>
      <w:tr w:rsidR="00350E4B" w:rsidRPr="00027CB2" w:rsidTr="00296854">
        <w:tc>
          <w:tcPr>
            <w:tcW w:w="1800" w:type="dxa"/>
            <w:shd w:val="clear" w:color="auto" w:fill="auto"/>
          </w:tcPr>
          <w:p w:rsidR="00350E4B" w:rsidRPr="00027CB2" w:rsidRDefault="00350E4B" w:rsidP="00066BAB">
            <w:r w:rsidRPr="00027CB2">
              <w:t>Workplace Issue</w:t>
            </w:r>
          </w:p>
        </w:tc>
        <w:tc>
          <w:tcPr>
            <w:tcW w:w="6920" w:type="dxa"/>
            <w:shd w:val="clear" w:color="auto" w:fill="auto"/>
          </w:tcPr>
          <w:p w:rsidR="00350E4B" w:rsidRPr="00027CB2" w:rsidRDefault="00350E4B" w:rsidP="00066BAB">
            <w:r w:rsidRPr="00027CB2">
              <w:t>Any matter raised as a concern by a staff member or an expression of dissatisfaction with an aspect of employment.</w:t>
            </w:r>
          </w:p>
        </w:tc>
      </w:tr>
    </w:tbl>
    <w:p w:rsidR="00350E4B" w:rsidRDefault="00350E4B" w:rsidP="00066BAB"/>
    <w:sectPr w:rsidR="00350E4B" w:rsidSect="00AE2410">
      <w:headerReference w:type="default" r:id="rId14"/>
      <w:footerReference w:type="default" r:id="rId15"/>
      <w:headerReference w:type="first" r:id="rId16"/>
      <w:footerReference w:type="first" r:id="rId17"/>
      <w:pgSz w:w="11906" w:h="16838"/>
      <w:pgMar w:top="1276" w:right="1106" w:bottom="993" w:left="1418" w:header="709" w:footer="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8B5" w:rsidRDefault="005118B5" w:rsidP="00066BAB">
      <w:r>
        <w:separator/>
      </w:r>
    </w:p>
  </w:endnote>
  <w:endnote w:type="continuationSeparator" w:id="0">
    <w:p w:rsidR="005118B5" w:rsidRDefault="005118B5" w:rsidP="0006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10" w:rsidRPr="00AE2410" w:rsidRDefault="005118B5" w:rsidP="00AE2410">
    <w:pPr>
      <w:pStyle w:val="NoSpacing"/>
      <w:rPr>
        <w:rFonts w:asciiTheme="minorHAnsi" w:hAnsiTheme="minorHAnsi"/>
        <w:sz w:val="18"/>
        <w:szCs w:val="18"/>
      </w:rPr>
    </w:pPr>
    <w:r w:rsidRPr="00D40E7E">
      <w:rPr>
        <w:rFonts w:asciiTheme="minorHAnsi" w:hAnsiTheme="minorHAnsi"/>
        <w:noProof/>
        <w:sz w:val="18"/>
        <w:szCs w:val="18"/>
        <w:lang w:eastAsia="ja-JP"/>
      </w:rPr>
      <mc:AlternateContent>
        <mc:Choice Requires="wps">
          <w:drawing>
            <wp:anchor distT="4294967295" distB="4294967295" distL="114300" distR="114300" simplePos="0" relativeHeight="251662336" behindDoc="0" locked="0" layoutInCell="1" allowOverlap="1" wp14:anchorId="5A524E35" wp14:editId="228F1C99">
              <wp:simplePos x="0" y="0"/>
              <wp:positionH relativeFrom="column">
                <wp:posOffset>-34290</wp:posOffset>
              </wp:positionH>
              <wp:positionV relativeFrom="paragraph">
                <wp:posOffset>-43816</wp:posOffset>
              </wp:positionV>
              <wp:extent cx="5770880" cy="0"/>
              <wp:effectExtent l="0" t="0" r="2032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880" cy="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4B2FC78" id="Straight Connector 3"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iMzwEAAI0DAAAOAAAAZHJzL2Uyb0RvYy54bWysU01v2zAMvQ/YfxB0X+w2aBsYcXpI0F2K&#10;LUC6H8DKsi1MEgVRi5N/P0r5WNvdhvkgkCL5xPdILx8Pzoq9jmTQt/JmVkuhvcLO+KGVP16eviyk&#10;oAS+A4tet/KoST6uPn9aTqHRtzii7XQUDOKpmUIrx5RCU1WkRu2AZhi052CP0UFiNw5VF2FidGer&#10;27q+ryaMXYioNBHfbk5BuSr4fa9V+t73pJOwreTeUjljOV/zWa2W0AwRwmjUuQ34hy4cGM+PXqE2&#10;kED8iuYvKGdURMI+zRS6CvveKF04MJub+gOb3QhBFy4sDoWrTPT/YNW3/TYK07VyLoUHxyPapQhm&#10;GJNYo/csIEYxzzpNgRpOX/ttzEzVwe/CM6qfxLHqXTA7FE5phz66nM5UxaHofrzqrg9JKL68e3io&#10;Fwsej7rEKmguhSFS+qrRiWy00hqfJYEG9s+U8tPQXFLytccnY20Zq/ViauX9/C4jAy9XbyGx6QLT&#10;JT9IAXbgrVUpFkRCa7pcnXHoSGsbxR54cXjfOpxeuF0pLFDiAHMoXxaGO3hXmtvZAI2n4hI6p1mf&#10;oXXZy3P3f7TK1it2x228CMozL+jn/cxL9dZn++1ftPoNAAD//wMAUEsDBBQABgAIAAAAIQDKsoTd&#10;3gAAAAgBAAAPAAAAZHJzL2Rvd25yZXYueG1sTI/NTsMwEITvSLyDtUhcUOuQlpSGOBUFekWiPwdu&#10;29jEEfE6it00vD2LOMBptTOj2W+L1ehaMZg+NJ4U3E4TEIYqrxuqFex3m8k9iBCRNLaejIIvE2BV&#10;Xl4UmGt/pjczbGMtuIRCjgpsjF0uZaiscRimvjPE3ofvHUZe+1rqHs9c7lqZJkkmHTbEFyx25sma&#10;6nN7cgpmLwMu7PvrmHXr+fPNOj2kuDgodX01Pj6AiGaMf2H4wWd0KJnp6E+kg2gVTO7mnOSZLUGw&#10;v0xmLBx/BVkW8v8D5TcAAAD//wMAUEsBAi0AFAAGAAgAAAAhALaDOJL+AAAA4QEAABMAAAAAAAAA&#10;AAAAAAAAAAAAAFtDb250ZW50X1R5cGVzXS54bWxQSwECLQAUAAYACAAAACEAOP0h/9YAAACUAQAA&#10;CwAAAAAAAAAAAAAAAAAvAQAAX3JlbHMvLnJlbHNQSwECLQAUAAYACAAAACEAVofIjM8BAACNAwAA&#10;DgAAAAAAAAAAAAAAAAAuAgAAZHJzL2Uyb0RvYy54bWxQSwECLQAUAAYACAAAACEAyrKE3d4AAAAI&#10;AQAADwAAAAAAAAAAAAAAAAApBAAAZHJzL2Rvd25yZXYueG1sUEsFBgAAAAAEAAQA8wAAADQFAAAA&#10;AA==&#10;" strokecolor="windowText" strokeweight=".5pt">
              <o:lock v:ext="edit" shapetype="f"/>
            </v:line>
          </w:pict>
        </mc:Fallback>
      </mc:AlternateContent>
    </w:r>
  </w:p>
  <w:p w:rsidR="005118B5" w:rsidRPr="00AE2410" w:rsidRDefault="005118B5" w:rsidP="00AE2410">
    <w:pPr>
      <w:pStyle w:val="NoSpacing"/>
      <w:jc w:val="right"/>
      <w:rPr>
        <w:rFonts w:asciiTheme="minorHAnsi" w:hAnsiTheme="minorHAnsi"/>
        <w:sz w:val="18"/>
        <w:szCs w:val="18"/>
      </w:rPr>
    </w:pPr>
    <w:r w:rsidRPr="00AE2410">
      <w:rPr>
        <w:rFonts w:asciiTheme="minorHAnsi" w:hAnsiTheme="minorHAnsi"/>
        <w:sz w:val="18"/>
        <w:szCs w:val="18"/>
      </w:rPr>
      <w:tab/>
    </w:r>
    <w:r w:rsidRPr="00AE2410">
      <w:rPr>
        <w:rFonts w:asciiTheme="minorHAnsi" w:hAnsiTheme="minorHAnsi"/>
        <w:sz w:val="18"/>
        <w:szCs w:val="18"/>
      </w:rPr>
      <w:tab/>
    </w:r>
    <w:r w:rsidRPr="00AE2410">
      <w:rPr>
        <w:rFonts w:asciiTheme="minorHAnsi" w:hAnsiTheme="minorHAnsi"/>
        <w:sz w:val="18"/>
        <w:szCs w:val="18"/>
      </w:rPr>
      <w:tab/>
      <w:t xml:space="preserve"> </w:t>
    </w:r>
    <w:r w:rsidRPr="00AE2410">
      <w:rPr>
        <w:rFonts w:asciiTheme="minorHAnsi" w:hAnsiTheme="minorHAnsi"/>
        <w:sz w:val="18"/>
        <w:szCs w:val="18"/>
      </w:rPr>
      <w:tab/>
    </w:r>
    <w:r w:rsidRPr="00AE2410">
      <w:rPr>
        <w:rFonts w:asciiTheme="minorHAnsi" w:hAnsiTheme="minorHAnsi"/>
        <w:sz w:val="18"/>
        <w:szCs w:val="18"/>
      </w:rPr>
      <w:tab/>
      <w:t xml:space="preserve">Page </w:t>
    </w:r>
    <w:r w:rsidRPr="00AE2410">
      <w:rPr>
        <w:rFonts w:asciiTheme="minorHAnsi" w:hAnsiTheme="minorHAnsi"/>
        <w:sz w:val="18"/>
        <w:szCs w:val="18"/>
      </w:rPr>
      <w:fldChar w:fldCharType="begin"/>
    </w:r>
    <w:r w:rsidRPr="00AE2410">
      <w:rPr>
        <w:rFonts w:asciiTheme="minorHAnsi" w:hAnsiTheme="minorHAnsi"/>
        <w:sz w:val="18"/>
        <w:szCs w:val="18"/>
      </w:rPr>
      <w:instrText xml:space="preserve"> PAGE  \* Arabic  \* MERGEFORMAT </w:instrText>
    </w:r>
    <w:r w:rsidRPr="00AE2410">
      <w:rPr>
        <w:rFonts w:asciiTheme="minorHAnsi" w:hAnsiTheme="minorHAnsi"/>
        <w:sz w:val="18"/>
        <w:szCs w:val="18"/>
      </w:rPr>
      <w:fldChar w:fldCharType="separate"/>
    </w:r>
    <w:r w:rsidR="0001172E">
      <w:rPr>
        <w:rFonts w:asciiTheme="minorHAnsi" w:hAnsiTheme="minorHAnsi"/>
        <w:noProof/>
        <w:sz w:val="18"/>
        <w:szCs w:val="18"/>
      </w:rPr>
      <w:t>2</w:t>
    </w:r>
    <w:r w:rsidRPr="00AE2410">
      <w:rPr>
        <w:rFonts w:asciiTheme="minorHAnsi" w:hAnsiTheme="minorHAnsi"/>
        <w:sz w:val="18"/>
        <w:szCs w:val="18"/>
      </w:rPr>
      <w:fldChar w:fldCharType="end"/>
    </w:r>
    <w:r w:rsidRPr="00AE2410">
      <w:rPr>
        <w:rFonts w:asciiTheme="minorHAnsi" w:hAnsiTheme="minorHAnsi"/>
        <w:sz w:val="18"/>
        <w:szCs w:val="18"/>
      </w:rPr>
      <w:t xml:space="preserve"> of </w:t>
    </w:r>
    <w:r w:rsidRPr="00AE2410">
      <w:rPr>
        <w:rFonts w:asciiTheme="minorHAnsi" w:hAnsiTheme="minorHAnsi"/>
        <w:sz w:val="18"/>
        <w:szCs w:val="18"/>
      </w:rPr>
      <w:fldChar w:fldCharType="begin"/>
    </w:r>
    <w:r w:rsidRPr="00AE2410">
      <w:rPr>
        <w:rFonts w:asciiTheme="minorHAnsi" w:hAnsiTheme="minorHAnsi"/>
        <w:sz w:val="18"/>
        <w:szCs w:val="18"/>
      </w:rPr>
      <w:instrText xml:space="preserve"> NUMPAGES  \* Arabic  \* MERGEFORMAT </w:instrText>
    </w:r>
    <w:r w:rsidRPr="00AE2410">
      <w:rPr>
        <w:rFonts w:asciiTheme="minorHAnsi" w:hAnsiTheme="minorHAnsi"/>
        <w:sz w:val="18"/>
        <w:szCs w:val="18"/>
      </w:rPr>
      <w:fldChar w:fldCharType="separate"/>
    </w:r>
    <w:r w:rsidR="0001172E">
      <w:rPr>
        <w:rFonts w:asciiTheme="minorHAnsi" w:hAnsiTheme="minorHAnsi"/>
        <w:noProof/>
        <w:sz w:val="18"/>
        <w:szCs w:val="18"/>
      </w:rPr>
      <w:t>11</w:t>
    </w:r>
    <w:r w:rsidRPr="00AE2410">
      <w:rPr>
        <w:rFonts w:asciiTheme="minorHAnsi" w:hAnsiTheme="minorHAnsi"/>
        <w:sz w:val="18"/>
        <w:szCs w:val="18"/>
      </w:rPr>
      <w:fldChar w:fldCharType="end"/>
    </w:r>
  </w:p>
  <w:p w:rsidR="005118B5" w:rsidRPr="00037F06" w:rsidRDefault="005118B5" w:rsidP="00066BAB">
    <w:pPr>
      <w:pStyle w:val="Footer"/>
      <w:rPr>
        <w:rStyle w:val="PageNumber"/>
        <w:rFonts w:ascii="Calibri" w:hAnsi="Calibr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10" w:rsidRPr="00D40E7E" w:rsidRDefault="00AE2410" w:rsidP="00AE2410">
    <w:pPr>
      <w:pStyle w:val="NoSpacing"/>
      <w:rPr>
        <w:rFonts w:asciiTheme="minorHAnsi" w:hAnsiTheme="minorHAnsi"/>
        <w:sz w:val="18"/>
        <w:szCs w:val="18"/>
      </w:rPr>
    </w:pPr>
    <w:r w:rsidRPr="00D40E7E">
      <w:rPr>
        <w:rFonts w:asciiTheme="minorHAnsi" w:hAnsiTheme="minorHAnsi"/>
        <w:noProof/>
        <w:sz w:val="18"/>
        <w:szCs w:val="18"/>
        <w:lang w:eastAsia="ja-JP"/>
      </w:rPr>
      <mc:AlternateContent>
        <mc:Choice Requires="wps">
          <w:drawing>
            <wp:anchor distT="4294967295" distB="4294967295" distL="114300" distR="114300" simplePos="0" relativeHeight="251669504" behindDoc="0" locked="0" layoutInCell="1" allowOverlap="1" wp14:anchorId="7A9EBB02" wp14:editId="3679437F">
              <wp:simplePos x="0" y="0"/>
              <wp:positionH relativeFrom="column">
                <wp:posOffset>-34290</wp:posOffset>
              </wp:positionH>
              <wp:positionV relativeFrom="paragraph">
                <wp:posOffset>-43816</wp:posOffset>
              </wp:positionV>
              <wp:extent cx="5770880" cy="0"/>
              <wp:effectExtent l="0" t="0" r="203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70880" cy="0"/>
                      </a:xfrm>
                      <a:prstGeom prst="line">
                        <a:avLst/>
                      </a:prstGeom>
                      <a:noFill/>
                      <a:ln w="635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16CAD08" id="Straight Connector 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pt,-3.45pt" to="451.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jzzwEAAI0DAAAOAAAAZHJzL2Uyb0RvYy54bWysU01v2zAMvQ/YfxB0X+y0aBsYcXpI0F2K&#10;LUC6H8DKsi1UEgVRi5N/P0r5WLvdhvkgkCL5xPdILx8Pzoq9jmTQt3I+q6XQXmFn/NDKHy9PXxZS&#10;UALfgUWvW3nUJB9Xnz8tp9DoGxzRdjoKBvHUTKGVY0qhqSpSo3ZAMwzac7DH6CCxG4eqizAxurPV&#10;TV3fVxPGLkRUmohvN6egXBX8vtcqfe970knYVnJvqZyxnK/5rFZLaIYIYTTq3Ab8QxcOjOdHr1Ab&#10;SCB+RvMXlDMqImGfZgpdhX1vlC4cmM28/oPNboSgCxcWh8JVJvp/sOrbfhuF6Xh2UnhwPKJdimCG&#10;MYk1es8CYhTzrNMUqOH0td/GzFQd/C48o3ojjlUfgtmhcEo79NHldKYqDkX341V3fUhC8eXdw0O9&#10;WPB41CVWQXMpDJHSV41OZKOV1vgsCTSwf6aUn4bmkpKvPT4Za8tYrRdTK+9v7zIy8HL1FhKbLjBd&#10;8oMUYAfeWpViQSS0psvVGYeOtLZR7IEXh/etw+mF25XCAiUOMIfyZWG4gw+luZ0N0HgqLqFzmvUZ&#10;Wpe9PHf/W6tsvWJ33MaLoDzzgn7ez7xU73223/9Fq18AAAD//wMAUEsDBBQABgAIAAAAIQDKsoTd&#10;3gAAAAgBAAAPAAAAZHJzL2Rvd25yZXYueG1sTI/NTsMwEITvSLyDtUhcUOuQlpSGOBUFekWiPwdu&#10;29jEEfE6it00vD2LOMBptTOj2W+L1ehaMZg+NJ4U3E4TEIYqrxuqFex3m8k9iBCRNLaejIIvE2BV&#10;Xl4UmGt/pjczbGMtuIRCjgpsjF0uZaiscRimvjPE3ofvHUZe+1rqHs9c7lqZJkkmHTbEFyx25sma&#10;6nN7cgpmLwMu7PvrmHXr+fPNOj2kuDgodX01Pj6AiGaMf2H4wWd0KJnp6E+kg2gVTO7mnOSZLUGw&#10;v0xmLBx/BVkW8v8D5TcAAAD//wMAUEsBAi0AFAAGAAgAAAAhALaDOJL+AAAA4QEAABMAAAAAAAAA&#10;AAAAAAAAAAAAAFtDb250ZW50X1R5cGVzXS54bWxQSwECLQAUAAYACAAAACEAOP0h/9YAAACUAQAA&#10;CwAAAAAAAAAAAAAAAAAvAQAAX3JlbHMvLnJlbHNQSwECLQAUAAYACAAAACEAxyI4888BAACNAwAA&#10;DgAAAAAAAAAAAAAAAAAuAgAAZHJzL2Uyb0RvYy54bWxQSwECLQAUAAYACAAAACEAyrKE3d4AAAAI&#10;AQAADwAAAAAAAAAAAAAAAAApBAAAZHJzL2Rvd25yZXYueG1sUEsFBgAAAAAEAAQA8wAAADQFAAAA&#10;AA==&#10;" strokecolor="windowText" strokeweight=".5pt">
              <o:lock v:ext="edit" shapetype="f"/>
            </v:line>
          </w:pict>
        </mc:Fallback>
      </mc:AlternateContent>
    </w:r>
    <w:r>
      <w:rPr>
        <w:rFonts w:asciiTheme="minorHAnsi" w:hAnsiTheme="minorHAnsi"/>
        <w:sz w:val="18"/>
        <w:szCs w:val="18"/>
      </w:rPr>
      <w:t>Contact Officer</w:t>
    </w:r>
    <w:r w:rsidRPr="00D40E7E">
      <w:rPr>
        <w:rFonts w:asciiTheme="minorHAnsi" w:hAnsiTheme="minorHAnsi"/>
        <w:sz w:val="18"/>
        <w:szCs w:val="18"/>
      </w:rPr>
      <w:t>: Senior Director, Human Resources and Organisational Development</w:t>
    </w:r>
    <w:r w:rsidRPr="00D40E7E">
      <w:rPr>
        <w:rFonts w:asciiTheme="minorHAnsi" w:hAnsiTheme="minorHAnsi"/>
        <w:sz w:val="18"/>
        <w:szCs w:val="18"/>
      </w:rPr>
      <w:tab/>
    </w:r>
    <w:r w:rsidRPr="00D40E7E">
      <w:rPr>
        <w:rFonts w:asciiTheme="minorHAnsi" w:hAnsiTheme="minorHAnsi"/>
        <w:sz w:val="18"/>
        <w:szCs w:val="18"/>
      </w:rPr>
      <w:tab/>
    </w:r>
    <w:r>
      <w:rPr>
        <w:rFonts w:asciiTheme="minorHAnsi" w:hAnsiTheme="minorHAnsi"/>
        <w:sz w:val="18"/>
        <w:szCs w:val="18"/>
      </w:rPr>
      <w:t>Approval Date: January 2019</w:t>
    </w:r>
  </w:p>
  <w:p w:rsidR="00AE2410" w:rsidRPr="00AE2410" w:rsidRDefault="00AE2410" w:rsidP="00AE2410">
    <w:pPr>
      <w:pStyle w:val="NoSpacing"/>
      <w:rPr>
        <w:rFonts w:asciiTheme="minorHAnsi" w:hAnsiTheme="minorHAnsi"/>
        <w:sz w:val="18"/>
        <w:szCs w:val="18"/>
      </w:rPr>
    </w:pPr>
    <w:r w:rsidRPr="00AE2410">
      <w:rPr>
        <w:rFonts w:asciiTheme="minorHAnsi" w:hAnsiTheme="minorHAnsi"/>
        <w:sz w:val="18"/>
        <w:szCs w:val="18"/>
      </w:rPr>
      <w:t>Please check SIS/website to ensure you have the latest version</w:t>
    </w:r>
    <w:r w:rsidRPr="00AE2410">
      <w:rPr>
        <w:rFonts w:asciiTheme="minorHAnsi" w:hAnsiTheme="minorHAnsi"/>
        <w:sz w:val="18"/>
        <w:szCs w:val="18"/>
      </w:rPr>
      <w:tab/>
    </w:r>
    <w:r w:rsidRPr="00AE2410">
      <w:rPr>
        <w:rFonts w:asciiTheme="minorHAnsi" w:hAnsiTheme="minorHAnsi"/>
        <w:sz w:val="18"/>
        <w:szCs w:val="18"/>
      </w:rPr>
      <w:tab/>
    </w:r>
    <w:r w:rsidRPr="00AE2410">
      <w:rPr>
        <w:rFonts w:asciiTheme="minorHAnsi" w:hAnsiTheme="minorHAnsi"/>
        <w:sz w:val="18"/>
        <w:szCs w:val="18"/>
      </w:rPr>
      <w:tab/>
      <w:t xml:space="preserve"> </w:t>
    </w:r>
    <w:r w:rsidRPr="00AE2410">
      <w:rPr>
        <w:rFonts w:asciiTheme="minorHAnsi" w:hAnsiTheme="minorHAnsi"/>
        <w:sz w:val="18"/>
        <w:szCs w:val="18"/>
      </w:rPr>
      <w:tab/>
    </w:r>
    <w:r w:rsidRPr="00AE2410">
      <w:rPr>
        <w:rFonts w:asciiTheme="minorHAnsi" w:hAnsiTheme="minorHAnsi"/>
        <w:sz w:val="18"/>
        <w:szCs w:val="18"/>
      </w:rPr>
      <w:tab/>
      <w:t xml:space="preserve">Page </w:t>
    </w:r>
    <w:r w:rsidRPr="00AE2410">
      <w:rPr>
        <w:rFonts w:asciiTheme="minorHAnsi" w:hAnsiTheme="minorHAnsi"/>
        <w:sz w:val="18"/>
        <w:szCs w:val="18"/>
      </w:rPr>
      <w:fldChar w:fldCharType="begin"/>
    </w:r>
    <w:r w:rsidRPr="00AE2410">
      <w:rPr>
        <w:rFonts w:asciiTheme="minorHAnsi" w:hAnsiTheme="minorHAnsi"/>
        <w:sz w:val="18"/>
        <w:szCs w:val="18"/>
      </w:rPr>
      <w:instrText xml:space="preserve"> PAGE  \* Arabic  \* MERGEFORMAT </w:instrText>
    </w:r>
    <w:r w:rsidRPr="00AE2410">
      <w:rPr>
        <w:rFonts w:asciiTheme="minorHAnsi" w:hAnsiTheme="minorHAnsi"/>
        <w:sz w:val="18"/>
        <w:szCs w:val="18"/>
      </w:rPr>
      <w:fldChar w:fldCharType="separate"/>
    </w:r>
    <w:r w:rsidR="0001172E">
      <w:rPr>
        <w:rFonts w:asciiTheme="minorHAnsi" w:hAnsiTheme="minorHAnsi"/>
        <w:noProof/>
        <w:sz w:val="18"/>
        <w:szCs w:val="18"/>
      </w:rPr>
      <w:t>1</w:t>
    </w:r>
    <w:r w:rsidRPr="00AE2410">
      <w:rPr>
        <w:rFonts w:asciiTheme="minorHAnsi" w:hAnsiTheme="minorHAnsi"/>
        <w:sz w:val="18"/>
        <w:szCs w:val="18"/>
      </w:rPr>
      <w:fldChar w:fldCharType="end"/>
    </w:r>
    <w:r w:rsidRPr="00AE2410">
      <w:rPr>
        <w:rFonts w:asciiTheme="minorHAnsi" w:hAnsiTheme="minorHAnsi"/>
        <w:sz w:val="18"/>
        <w:szCs w:val="18"/>
      </w:rPr>
      <w:t xml:space="preserve"> of </w:t>
    </w:r>
    <w:r w:rsidRPr="00AE2410">
      <w:rPr>
        <w:rFonts w:asciiTheme="minorHAnsi" w:hAnsiTheme="minorHAnsi"/>
        <w:sz w:val="18"/>
        <w:szCs w:val="18"/>
      </w:rPr>
      <w:fldChar w:fldCharType="begin"/>
    </w:r>
    <w:r w:rsidRPr="00AE2410">
      <w:rPr>
        <w:rFonts w:asciiTheme="minorHAnsi" w:hAnsiTheme="minorHAnsi"/>
        <w:sz w:val="18"/>
        <w:szCs w:val="18"/>
      </w:rPr>
      <w:instrText xml:space="preserve"> NUMPAGES  \* Arabic  \* MERGEFORMAT </w:instrText>
    </w:r>
    <w:r w:rsidRPr="00AE2410">
      <w:rPr>
        <w:rFonts w:asciiTheme="minorHAnsi" w:hAnsiTheme="minorHAnsi"/>
        <w:sz w:val="18"/>
        <w:szCs w:val="18"/>
      </w:rPr>
      <w:fldChar w:fldCharType="separate"/>
    </w:r>
    <w:r w:rsidR="0001172E">
      <w:rPr>
        <w:rFonts w:asciiTheme="minorHAnsi" w:hAnsiTheme="minorHAnsi"/>
        <w:noProof/>
        <w:sz w:val="18"/>
        <w:szCs w:val="18"/>
      </w:rPr>
      <w:t>11</w:t>
    </w:r>
    <w:r w:rsidRPr="00AE2410">
      <w:rPr>
        <w:rFonts w:asciiTheme="minorHAnsi" w:hAnsiTheme="minorHAnsi"/>
        <w:sz w:val="18"/>
        <w:szCs w:val="18"/>
      </w:rPr>
      <w:fldChar w:fldCharType="end"/>
    </w:r>
  </w:p>
  <w:p w:rsidR="005118B5" w:rsidRDefault="00511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8B5" w:rsidRDefault="005118B5" w:rsidP="00066BAB">
      <w:r>
        <w:separator/>
      </w:r>
    </w:p>
  </w:footnote>
  <w:footnote w:type="continuationSeparator" w:id="0">
    <w:p w:rsidR="005118B5" w:rsidRDefault="005118B5" w:rsidP="0006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8B5" w:rsidRPr="00E1096E" w:rsidRDefault="005118B5" w:rsidP="00066BAB">
    <w:pPr>
      <w:pStyle w:val="Header"/>
      <w:rPr>
        <w:rFonts w:ascii="Calibri" w:hAnsi="Calibri" w:cs="Calibri"/>
      </w:rPr>
    </w:pPr>
  </w:p>
  <w:p w:rsidR="005118B5" w:rsidRPr="00875263" w:rsidRDefault="005118B5" w:rsidP="00066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410" w:rsidRDefault="00AE2410" w:rsidP="00AE2410">
    <w:pPr>
      <w:pStyle w:val="Header"/>
      <w:jc w:val="right"/>
    </w:pPr>
    <w:r>
      <w:rPr>
        <w:noProof/>
        <w:lang w:eastAsia="ja-JP"/>
      </w:rPr>
      <w:drawing>
        <wp:inline distT="0" distB="0" distL="0" distR="0" wp14:anchorId="7A7DDF52" wp14:editId="49ED5010">
          <wp:extent cx="2929255" cy="599090"/>
          <wp:effectExtent l="0" t="0" r="4445" b="0"/>
          <wp:docPr id="8" name="Picture 8" descr="https://staff.cit.edu.au/__data/assets/image/0009/46728/CIT_logo_inline_right_corner_dark_blue_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ff.cit.edu.au/__data/assets/image/0009/46728/CIT_logo_inline_right_corner_dark_blue_RT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8369" cy="609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56273"/>
    <w:multiLevelType w:val="hybridMultilevel"/>
    <w:tmpl w:val="F6CEDAF0"/>
    <w:lvl w:ilvl="0" w:tplc="A47CA3C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542936"/>
    <w:multiLevelType w:val="hybridMultilevel"/>
    <w:tmpl w:val="9C54E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5A3D7D"/>
    <w:multiLevelType w:val="hybridMultilevel"/>
    <w:tmpl w:val="E222C7B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 w15:restartNumberingAfterBreak="0">
    <w:nsid w:val="33103A79"/>
    <w:multiLevelType w:val="hybridMultilevel"/>
    <w:tmpl w:val="D890A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CE4C5A"/>
    <w:multiLevelType w:val="hybridMultilevel"/>
    <w:tmpl w:val="9B7A4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AB331D"/>
    <w:multiLevelType w:val="hybridMultilevel"/>
    <w:tmpl w:val="32E2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634E2C"/>
    <w:multiLevelType w:val="hybridMultilevel"/>
    <w:tmpl w:val="5E5A2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24600AC"/>
    <w:multiLevelType w:val="hybridMultilevel"/>
    <w:tmpl w:val="34CCE790"/>
    <w:lvl w:ilvl="0" w:tplc="39F2682C">
      <w:start w:val="1"/>
      <w:numFmt w:val="decimal"/>
      <w:pStyle w:val="Heading2"/>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5986583"/>
    <w:multiLevelType w:val="hybridMultilevel"/>
    <w:tmpl w:val="2B280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6D76AE"/>
    <w:multiLevelType w:val="hybridMultilevel"/>
    <w:tmpl w:val="A8401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B700181"/>
    <w:multiLevelType w:val="hybridMultilevel"/>
    <w:tmpl w:val="C7245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B45E41"/>
    <w:multiLevelType w:val="hybridMultilevel"/>
    <w:tmpl w:val="410CD3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F914B83"/>
    <w:multiLevelType w:val="hybridMultilevel"/>
    <w:tmpl w:val="6CB24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9A20C7"/>
    <w:multiLevelType w:val="hybridMultilevel"/>
    <w:tmpl w:val="3CDC1D28"/>
    <w:lvl w:ilvl="0" w:tplc="A47CA3C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7C62650"/>
    <w:multiLevelType w:val="hybridMultilevel"/>
    <w:tmpl w:val="17962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C230BFA"/>
    <w:multiLevelType w:val="hybridMultilevel"/>
    <w:tmpl w:val="64EE6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3"/>
  </w:num>
  <w:num w:numId="4">
    <w:abstractNumId w:val="10"/>
  </w:num>
  <w:num w:numId="5">
    <w:abstractNumId w:val="14"/>
  </w:num>
  <w:num w:numId="6">
    <w:abstractNumId w:val="7"/>
  </w:num>
  <w:num w:numId="7">
    <w:abstractNumId w:val="6"/>
  </w:num>
  <w:num w:numId="8">
    <w:abstractNumId w:val="1"/>
  </w:num>
  <w:num w:numId="9">
    <w:abstractNumId w:val="4"/>
  </w:num>
  <w:num w:numId="10">
    <w:abstractNumId w:val="0"/>
  </w:num>
  <w:num w:numId="11">
    <w:abstractNumId w:val="15"/>
  </w:num>
  <w:num w:numId="12">
    <w:abstractNumId w:val="9"/>
  </w:num>
  <w:num w:numId="13">
    <w:abstractNumId w:val="8"/>
  </w:num>
  <w:num w:numId="14">
    <w:abstractNumId w:val="5"/>
  </w:num>
  <w:num w:numId="15">
    <w:abstractNumId w:val="13"/>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184"/>
    <w:rsid w:val="000038E9"/>
    <w:rsid w:val="00006568"/>
    <w:rsid w:val="00010E41"/>
    <w:rsid w:val="0001172E"/>
    <w:rsid w:val="00012100"/>
    <w:rsid w:val="000133E7"/>
    <w:rsid w:val="000155D6"/>
    <w:rsid w:val="00022F13"/>
    <w:rsid w:val="0002598A"/>
    <w:rsid w:val="00030C7C"/>
    <w:rsid w:val="00030E89"/>
    <w:rsid w:val="00030F62"/>
    <w:rsid w:val="00037F06"/>
    <w:rsid w:val="00040B96"/>
    <w:rsid w:val="00044BAF"/>
    <w:rsid w:val="000450DB"/>
    <w:rsid w:val="000462F4"/>
    <w:rsid w:val="000604A7"/>
    <w:rsid w:val="000640DE"/>
    <w:rsid w:val="00066BAB"/>
    <w:rsid w:val="0007266F"/>
    <w:rsid w:val="00083B02"/>
    <w:rsid w:val="00090153"/>
    <w:rsid w:val="000920D9"/>
    <w:rsid w:val="000936A2"/>
    <w:rsid w:val="00095B46"/>
    <w:rsid w:val="00096007"/>
    <w:rsid w:val="00096249"/>
    <w:rsid w:val="000A0F6A"/>
    <w:rsid w:val="000A2A98"/>
    <w:rsid w:val="000A73F4"/>
    <w:rsid w:val="000B1CF8"/>
    <w:rsid w:val="000B45D1"/>
    <w:rsid w:val="000B598A"/>
    <w:rsid w:val="000B6283"/>
    <w:rsid w:val="000B6A76"/>
    <w:rsid w:val="000B6B09"/>
    <w:rsid w:val="000B7002"/>
    <w:rsid w:val="000C39B4"/>
    <w:rsid w:val="000C3D71"/>
    <w:rsid w:val="000D13F1"/>
    <w:rsid w:val="000D17AE"/>
    <w:rsid w:val="000E1CFC"/>
    <w:rsid w:val="000E57D1"/>
    <w:rsid w:val="000F0743"/>
    <w:rsid w:val="000F48EF"/>
    <w:rsid w:val="000F5A48"/>
    <w:rsid w:val="000F7692"/>
    <w:rsid w:val="001003DB"/>
    <w:rsid w:val="00106CC9"/>
    <w:rsid w:val="00111043"/>
    <w:rsid w:val="00111E42"/>
    <w:rsid w:val="00115CFB"/>
    <w:rsid w:val="00120717"/>
    <w:rsid w:val="0012202B"/>
    <w:rsid w:val="001249E7"/>
    <w:rsid w:val="00127FC7"/>
    <w:rsid w:val="001309CB"/>
    <w:rsid w:val="001322D3"/>
    <w:rsid w:val="00133007"/>
    <w:rsid w:val="0013332A"/>
    <w:rsid w:val="0013554B"/>
    <w:rsid w:val="00137188"/>
    <w:rsid w:val="0014079F"/>
    <w:rsid w:val="001419DD"/>
    <w:rsid w:val="0014228D"/>
    <w:rsid w:val="001427EE"/>
    <w:rsid w:val="00142F13"/>
    <w:rsid w:val="00145477"/>
    <w:rsid w:val="00150B7E"/>
    <w:rsid w:val="00151177"/>
    <w:rsid w:val="001612F1"/>
    <w:rsid w:val="0016280B"/>
    <w:rsid w:val="0017016C"/>
    <w:rsid w:val="0017074B"/>
    <w:rsid w:val="00171E58"/>
    <w:rsid w:val="00173237"/>
    <w:rsid w:val="00177D35"/>
    <w:rsid w:val="00182FCD"/>
    <w:rsid w:val="00184F7D"/>
    <w:rsid w:val="001863A1"/>
    <w:rsid w:val="0019160C"/>
    <w:rsid w:val="0019625B"/>
    <w:rsid w:val="00196730"/>
    <w:rsid w:val="00197EE7"/>
    <w:rsid w:val="001A26DB"/>
    <w:rsid w:val="001A444D"/>
    <w:rsid w:val="001A53DE"/>
    <w:rsid w:val="001B0F68"/>
    <w:rsid w:val="001B5772"/>
    <w:rsid w:val="001C26AA"/>
    <w:rsid w:val="001C2B72"/>
    <w:rsid w:val="001C3E12"/>
    <w:rsid w:val="001C63C2"/>
    <w:rsid w:val="001C6FB5"/>
    <w:rsid w:val="001D4B55"/>
    <w:rsid w:val="001D57BB"/>
    <w:rsid w:val="001D5DA6"/>
    <w:rsid w:val="001F211B"/>
    <w:rsid w:val="001F5A8F"/>
    <w:rsid w:val="00201532"/>
    <w:rsid w:val="0020246D"/>
    <w:rsid w:val="002241C7"/>
    <w:rsid w:val="00225AAA"/>
    <w:rsid w:val="002308E9"/>
    <w:rsid w:val="00230D03"/>
    <w:rsid w:val="0023187B"/>
    <w:rsid w:val="00240CAD"/>
    <w:rsid w:val="002424BD"/>
    <w:rsid w:val="00244875"/>
    <w:rsid w:val="00244F4E"/>
    <w:rsid w:val="0024615C"/>
    <w:rsid w:val="002535EC"/>
    <w:rsid w:val="00255F47"/>
    <w:rsid w:val="00260185"/>
    <w:rsid w:val="00263639"/>
    <w:rsid w:val="00264D61"/>
    <w:rsid w:val="00265A55"/>
    <w:rsid w:val="00274036"/>
    <w:rsid w:val="00274CA0"/>
    <w:rsid w:val="002752F0"/>
    <w:rsid w:val="002809A5"/>
    <w:rsid w:val="00280E59"/>
    <w:rsid w:val="002821CA"/>
    <w:rsid w:val="00284D46"/>
    <w:rsid w:val="00286E89"/>
    <w:rsid w:val="00290703"/>
    <w:rsid w:val="00296854"/>
    <w:rsid w:val="002A07CC"/>
    <w:rsid w:val="002A71CD"/>
    <w:rsid w:val="002A7505"/>
    <w:rsid w:val="002A78F5"/>
    <w:rsid w:val="002B0A9E"/>
    <w:rsid w:val="002B0AA1"/>
    <w:rsid w:val="002B6514"/>
    <w:rsid w:val="002C12D3"/>
    <w:rsid w:val="002C33DF"/>
    <w:rsid w:val="002C7E82"/>
    <w:rsid w:val="002D1068"/>
    <w:rsid w:val="002D2BA0"/>
    <w:rsid w:val="002E504F"/>
    <w:rsid w:val="002E57B2"/>
    <w:rsid w:val="002E5F79"/>
    <w:rsid w:val="002F5E0E"/>
    <w:rsid w:val="002F5E72"/>
    <w:rsid w:val="00300143"/>
    <w:rsid w:val="00300C78"/>
    <w:rsid w:val="00302E47"/>
    <w:rsid w:val="00303806"/>
    <w:rsid w:val="00306AB2"/>
    <w:rsid w:val="00307527"/>
    <w:rsid w:val="00307768"/>
    <w:rsid w:val="0031040E"/>
    <w:rsid w:val="003139CA"/>
    <w:rsid w:val="0031508B"/>
    <w:rsid w:val="003169FB"/>
    <w:rsid w:val="00317A9B"/>
    <w:rsid w:val="00320C82"/>
    <w:rsid w:val="00320DB4"/>
    <w:rsid w:val="00322DA6"/>
    <w:rsid w:val="00332416"/>
    <w:rsid w:val="00333E66"/>
    <w:rsid w:val="00335D61"/>
    <w:rsid w:val="003370BC"/>
    <w:rsid w:val="0033731E"/>
    <w:rsid w:val="0033732E"/>
    <w:rsid w:val="003379EE"/>
    <w:rsid w:val="003479E1"/>
    <w:rsid w:val="00350E4B"/>
    <w:rsid w:val="00350FC6"/>
    <w:rsid w:val="00354235"/>
    <w:rsid w:val="00355160"/>
    <w:rsid w:val="00355F80"/>
    <w:rsid w:val="003574DF"/>
    <w:rsid w:val="00357AA0"/>
    <w:rsid w:val="00361F48"/>
    <w:rsid w:val="00371EE0"/>
    <w:rsid w:val="00372AAC"/>
    <w:rsid w:val="003746B8"/>
    <w:rsid w:val="0037596C"/>
    <w:rsid w:val="0037653F"/>
    <w:rsid w:val="003807A0"/>
    <w:rsid w:val="003811CB"/>
    <w:rsid w:val="00383624"/>
    <w:rsid w:val="00384121"/>
    <w:rsid w:val="00384252"/>
    <w:rsid w:val="00387288"/>
    <w:rsid w:val="00390082"/>
    <w:rsid w:val="00391A36"/>
    <w:rsid w:val="00392016"/>
    <w:rsid w:val="00393005"/>
    <w:rsid w:val="003979F4"/>
    <w:rsid w:val="003A09D5"/>
    <w:rsid w:val="003A1C5F"/>
    <w:rsid w:val="003A5CB6"/>
    <w:rsid w:val="003A63EF"/>
    <w:rsid w:val="003A6D3A"/>
    <w:rsid w:val="003B1A56"/>
    <w:rsid w:val="003B1B9C"/>
    <w:rsid w:val="003B3854"/>
    <w:rsid w:val="003B43D3"/>
    <w:rsid w:val="003B5242"/>
    <w:rsid w:val="003C3781"/>
    <w:rsid w:val="003C3D09"/>
    <w:rsid w:val="003C3EDB"/>
    <w:rsid w:val="003C67BA"/>
    <w:rsid w:val="003D1D72"/>
    <w:rsid w:val="003D3979"/>
    <w:rsid w:val="003D5D5B"/>
    <w:rsid w:val="003D60E3"/>
    <w:rsid w:val="003E1C06"/>
    <w:rsid w:val="003E24FC"/>
    <w:rsid w:val="003E2E6B"/>
    <w:rsid w:val="003E3282"/>
    <w:rsid w:val="003E54F5"/>
    <w:rsid w:val="003E7FBB"/>
    <w:rsid w:val="003F003A"/>
    <w:rsid w:val="003F163C"/>
    <w:rsid w:val="003F6CCC"/>
    <w:rsid w:val="00400D97"/>
    <w:rsid w:val="004055B3"/>
    <w:rsid w:val="004056E8"/>
    <w:rsid w:val="004106E7"/>
    <w:rsid w:val="004107C7"/>
    <w:rsid w:val="00412DE6"/>
    <w:rsid w:val="0041340E"/>
    <w:rsid w:val="00414085"/>
    <w:rsid w:val="00414AA8"/>
    <w:rsid w:val="00415D34"/>
    <w:rsid w:val="00421691"/>
    <w:rsid w:val="00431F40"/>
    <w:rsid w:val="00432A64"/>
    <w:rsid w:val="00436C52"/>
    <w:rsid w:val="00452D86"/>
    <w:rsid w:val="00455327"/>
    <w:rsid w:val="004574E3"/>
    <w:rsid w:val="004628E0"/>
    <w:rsid w:val="00467548"/>
    <w:rsid w:val="00475855"/>
    <w:rsid w:val="00480381"/>
    <w:rsid w:val="00481F73"/>
    <w:rsid w:val="00484145"/>
    <w:rsid w:val="0048650A"/>
    <w:rsid w:val="00487266"/>
    <w:rsid w:val="00490AED"/>
    <w:rsid w:val="0049293F"/>
    <w:rsid w:val="00493090"/>
    <w:rsid w:val="004A16B0"/>
    <w:rsid w:val="004A47A7"/>
    <w:rsid w:val="004A5CB2"/>
    <w:rsid w:val="004B1245"/>
    <w:rsid w:val="004B1457"/>
    <w:rsid w:val="004B1DA0"/>
    <w:rsid w:val="004B40EE"/>
    <w:rsid w:val="004B5C7F"/>
    <w:rsid w:val="004B7726"/>
    <w:rsid w:val="004C10DD"/>
    <w:rsid w:val="004C1504"/>
    <w:rsid w:val="004C15D9"/>
    <w:rsid w:val="004C7E3D"/>
    <w:rsid w:val="004D142A"/>
    <w:rsid w:val="004D6FFF"/>
    <w:rsid w:val="004E4A62"/>
    <w:rsid w:val="004E59BF"/>
    <w:rsid w:val="004E74D9"/>
    <w:rsid w:val="004F2DD6"/>
    <w:rsid w:val="004F57A9"/>
    <w:rsid w:val="00502C63"/>
    <w:rsid w:val="0050377A"/>
    <w:rsid w:val="005118B5"/>
    <w:rsid w:val="005142CB"/>
    <w:rsid w:val="0052159A"/>
    <w:rsid w:val="00525F8F"/>
    <w:rsid w:val="005273B5"/>
    <w:rsid w:val="005353E9"/>
    <w:rsid w:val="00541086"/>
    <w:rsid w:val="00541D41"/>
    <w:rsid w:val="005422AF"/>
    <w:rsid w:val="0054565F"/>
    <w:rsid w:val="00546E9C"/>
    <w:rsid w:val="005535D2"/>
    <w:rsid w:val="00554998"/>
    <w:rsid w:val="00560C1E"/>
    <w:rsid w:val="00561967"/>
    <w:rsid w:val="00562027"/>
    <w:rsid w:val="00564B1C"/>
    <w:rsid w:val="00564BAF"/>
    <w:rsid w:val="00566233"/>
    <w:rsid w:val="00572260"/>
    <w:rsid w:val="005767C1"/>
    <w:rsid w:val="00576B01"/>
    <w:rsid w:val="005771B7"/>
    <w:rsid w:val="00585721"/>
    <w:rsid w:val="00586ABA"/>
    <w:rsid w:val="0059445F"/>
    <w:rsid w:val="005A06CE"/>
    <w:rsid w:val="005A16A8"/>
    <w:rsid w:val="005A402E"/>
    <w:rsid w:val="005B0108"/>
    <w:rsid w:val="005B2005"/>
    <w:rsid w:val="005B461B"/>
    <w:rsid w:val="005B6089"/>
    <w:rsid w:val="005B6DC2"/>
    <w:rsid w:val="005C3BA8"/>
    <w:rsid w:val="005D7429"/>
    <w:rsid w:val="005E0E90"/>
    <w:rsid w:val="005E2897"/>
    <w:rsid w:val="005E3793"/>
    <w:rsid w:val="005E509F"/>
    <w:rsid w:val="005E602E"/>
    <w:rsid w:val="005F1A11"/>
    <w:rsid w:val="005F3F5B"/>
    <w:rsid w:val="005F4841"/>
    <w:rsid w:val="005F7559"/>
    <w:rsid w:val="00602DC1"/>
    <w:rsid w:val="00603EB6"/>
    <w:rsid w:val="00604BA6"/>
    <w:rsid w:val="006060A8"/>
    <w:rsid w:val="006107DE"/>
    <w:rsid w:val="00617A69"/>
    <w:rsid w:val="00620313"/>
    <w:rsid w:val="00625FD1"/>
    <w:rsid w:val="006304BC"/>
    <w:rsid w:val="00630E9E"/>
    <w:rsid w:val="0063110E"/>
    <w:rsid w:val="00633030"/>
    <w:rsid w:val="0064418F"/>
    <w:rsid w:val="00645F52"/>
    <w:rsid w:val="00653070"/>
    <w:rsid w:val="0065437E"/>
    <w:rsid w:val="00655FD7"/>
    <w:rsid w:val="006605BC"/>
    <w:rsid w:val="00660670"/>
    <w:rsid w:val="006670FE"/>
    <w:rsid w:val="00672B02"/>
    <w:rsid w:val="00672D90"/>
    <w:rsid w:val="00673BC1"/>
    <w:rsid w:val="006745EE"/>
    <w:rsid w:val="00674CD0"/>
    <w:rsid w:val="006767AB"/>
    <w:rsid w:val="00681723"/>
    <w:rsid w:val="00686CB2"/>
    <w:rsid w:val="00692CEB"/>
    <w:rsid w:val="006956C3"/>
    <w:rsid w:val="0069607D"/>
    <w:rsid w:val="006B0748"/>
    <w:rsid w:val="006C38FC"/>
    <w:rsid w:val="006C3C8C"/>
    <w:rsid w:val="006C5D49"/>
    <w:rsid w:val="006C6B56"/>
    <w:rsid w:val="006D4680"/>
    <w:rsid w:val="006E209F"/>
    <w:rsid w:val="006E29F6"/>
    <w:rsid w:val="006E3681"/>
    <w:rsid w:val="006E71DA"/>
    <w:rsid w:val="006F238B"/>
    <w:rsid w:val="006F2D90"/>
    <w:rsid w:val="006F2DDF"/>
    <w:rsid w:val="006F30A0"/>
    <w:rsid w:val="006F3411"/>
    <w:rsid w:val="006F3CE9"/>
    <w:rsid w:val="006F471B"/>
    <w:rsid w:val="006F49FF"/>
    <w:rsid w:val="007008B9"/>
    <w:rsid w:val="00705EEE"/>
    <w:rsid w:val="007073D4"/>
    <w:rsid w:val="00707F45"/>
    <w:rsid w:val="00711F99"/>
    <w:rsid w:val="00712FEA"/>
    <w:rsid w:val="007142EF"/>
    <w:rsid w:val="00715B5D"/>
    <w:rsid w:val="00717777"/>
    <w:rsid w:val="007214A9"/>
    <w:rsid w:val="0072348F"/>
    <w:rsid w:val="00726AEF"/>
    <w:rsid w:val="007315A3"/>
    <w:rsid w:val="00734688"/>
    <w:rsid w:val="00746862"/>
    <w:rsid w:val="00747C79"/>
    <w:rsid w:val="00751793"/>
    <w:rsid w:val="007541A3"/>
    <w:rsid w:val="00754533"/>
    <w:rsid w:val="00760AE8"/>
    <w:rsid w:val="007640A1"/>
    <w:rsid w:val="007730C6"/>
    <w:rsid w:val="007734DB"/>
    <w:rsid w:val="00776CA6"/>
    <w:rsid w:val="00782C8E"/>
    <w:rsid w:val="00783269"/>
    <w:rsid w:val="007832EB"/>
    <w:rsid w:val="007910E8"/>
    <w:rsid w:val="00797E00"/>
    <w:rsid w:val="007A05E2"/>
    <w:rsid w:val="007A486C"/>
    <w:rsid w:val="007A4C00"/>
    <w:rsid w:val="007A4C8F"/>
    <w:rsid w:val="007B4760"/>
    <w:rsid w:val="007B5C90"/>
    <w:rsid w:val="007B5E07"/>
    <w:rsid w:val="007D436F"/>
    <w:rsid w:val="007D47BB"/>
    <w:rsid w:val="007E0395"/>
    <w:rsid w:val="007E18EF"/>
    <w:rsid w:val="007E1A04"/>
    <w:rsid w:val="007E1C38"/>
    <w:rsid w:val="007E3DF1"/>
    <w:rsid w:val="007E5DE0"/>
    <w:rsid w:val="007F79BC"/>
    <w:rsid w:val="00801DD1"/>
    <w:rsid w:val="00803A69"/>
    <w:rsid w:val="00806888"/>
    <w:rsid w:val="00806A14"/>
    <w:rsid w:val="00806D35"/>
    <w:rsid w:val="008073CC"/>
    <w:rsid w:val="00807430"/>
    <w:rsid w:val="008108D0"/>
    <w:rsid w:val="0081585D"/>
    <w:rsid w:val="00825A32"/>
    <w:rsid w:val="00827961"/>
    <w:rsid w:val="0083282B"/>
    <w:rsid w:val="008347EB"/>
    <w:rsid w:val="00837E32"/>
    <w:rsid w:val="008404DB"/>
    <w:rsid w:val="00842F24"/>
    <w:rsid w:val="00847AD8"/>
    <w:rsid w:val="008522E8"/>
    <w:rsid w:val="00860DBD"/>
    <w:rsid w:val="00862171"/>
    <w:rsid w:val="00865981"/>
    <w:rsid w:val="008700B7"/>
    <w:rsid w:val="00871984"/>
    <w:rsid w:val="00875263"/>
    <w:rsid w:val="0087535C"/>
    <w:rsid w:val="00880EAC"/>
    <w:rsid w:val="00881906"/>
    <w:rsid w:val="008844D2"/>
    <w:rsid w:val="00892EC4"/>
    <w:rsid w:val="00894446"/>
    <w:rsid w:val="008976CB"/>
    <w:rsid w:val="008A0CE3"/>
    <w:rsid w:val="008A1BF6"/>
    <w:rsid w:val="008A20B8"/>
    <w:rsid w:val="008B0A49"/>
    <w:rsid w:val="008B1CB0"/>
    <w:rsid w:val="008B4169"/>
    <w:rsid w:val="008B4C5A"/>
    <w:rsid w:val="008B4EF5"/>
    <w:rsid w:val="008C08A8"/>
    <w:rsid w:val="008C6184"/>
    <w:rsid w:val="008C74D3"/>
    <w:rsid w:val="008D28CE"/>
    <w:rsid w:val="008D653E"/>
    <w:rsid w:val="008E1FCF"/>
    <w:rsid w:val="008E2150"/>
    <w:rsid w:val="008E3FBD"/>
    <w:rsid w:val="008E4FC3"/>
    <w:rsid w:val="008E7AB2"/>
    <w:rsid w:val="00901704"/>
    <w:rsid w:val="009019AE"/>
    <w:rsid w:val="00905548"/>
    <w:rsid w:val="0090617A"/>
    <w:rsid w:val="00907C8C"/>
    <w:rsid w:val="0091245A"/>
    <w:rsid w:val="0091276B"/>
    <w:rsid w:val="00912C0E"/>
    <w:rsid w:val="00913B7E"/>
    <w:rsid w:val="00924C65"/>
    <w:rsid w:val="00931203"/>
    <w:rsid w:val="00933547"/>
    <w:rsid w:val="00934E42"/>
    <w:rsid w:val="00935702"/>
    <w:rsid w:val="00936DE5"/>
    <w:rsid w:val="00937139"/>
    <w:rsid w:val="00943EC9"/>
    <w:rsid w:val="00946A9E"/>
    <w:rsid w:val="009506F7"/>
    <w:rsid w:val="00950B2D"/>
    <w:rsid w:val="00950E4C"/>
    <w:rsid w:val="00951623"/>
    <w:rsid w:val="009531AF"/>
    <w:rsid w:val="00955D5C"/>
    <w:rsid w:val="00967E09"/>
    <w:rsid w:val="00970DDF"/>
    <w:rsid w:val="0097259C"/>
    <w:rsid w:val="00972DA3"/>
    <w:rsid w:val="00975153"/>
    <w:rsid w:val="00976B65"/>
    <w:rsid w:val="00977271"/>
    <w:rsid w:val="00983962"/>
    <w:rsid w:val="00986D19"/>
    <w:rsid w:val="00992DC6"/>
    <w:rsid w:val="0099375A"/>
    <w:rsid w:val="009961CC"/>
    <w:rsid w:val="009A79D8"/>
    <w:rsid w:val="009B05E8"/>
    <w:rsid w:val="009B6631"/>
    <w:rsid w:val="009C0486"/>
    <w:rsid w:val="009C0EEC"/>
    <w:rsid w:val="009C13C6"/>
    <w:rsid w:val="009C216C"/>
    <w:rsid w:val="009C309B"/>
    <w:rsid w:val="009C66A0"/>
    <w:rsid w:val="009D6216"/>
    <w:rsid w:val="009D632B"/>
    <w:rsid w:val="009D6423"/>
    <w:rsid w:val="009E3ACD"/>
    <w:rsid w:val="009E3E20"/>
    <w:rsid w:val="009F036B"/>
    <w:rsid w:val="009F240E"/>
    <w:rsid w:val="009F25EC"/>
    <w:rsid w:val="009F5E6D"/>
    <w:rsid w:val="00A00AAF"/>
    <w:rsid w:val="00A03749"/>
    <w:rsid w:val="00A06128"/>
    <w:rsid w:val="00A06F3E"/>
    <w:rsid w:val="00A0737E"/>
    <w:rsid w:val="00A133E0"/>
    <w:rsid w:val="00A15C94"/>
    <w:rsid w:val="00A164A9"/>
    <w:rsid w:val="00A203E2"/>
    <w:rsid w:val="00A21320"/>
    <w:rsid w:val="00A315D2"/>
    <w:rsid w:val="00A318FA"/>
    <w:rsid w:val="00A3577A"/>
    <w:rsid w:val="00A372C7"/>
    <w:rsid w:val="00A37ADB"/>
    <w:rsid w:val="00A37F64"/>
    <w:rsid w:val="00A42F10"/>
    <w:rsid w:val="00A600C9"/>
    <w:rsid w:val="00A61E2B"/>
    <w:rsid w:val="00A6387D"/>
    <w:rsid w:val="00A66752"/>
    <w:rsid w:val="00A756FC"/>
    <w:rsid w:val="00A82239"/>
    <w:rsid w:val="00A84062"/>
    <w:rsid w:val="00A85691"/>
    <w:rsid w:val="00A86A4D"/>
    <w:rsid w:val="00A86F62"/>
    <w:rsid w:val="00A878FA"/>
    <w:rsid w:val="00A93D85"/>
    <w:rsid w:val="00A94ED5"/>
    <w:rsid w:val="00A975C7"/>
    <w:rsid w:val="00AA0A2B"/>
    <w:rsid w:val="00AA162B"/>
    <w:rsid w:val="00AA23BF"/>
    <w:rsid w:val="00AA6C10"/>
    <w:rsid w:val="00AA7E1A"/>
    <w:rsid w:val="00AB1B54"/>
    <w:rsid w:val="00AB514D"/>
    <w:rsid w:val="00AC0610"/>
    <w:rsid w:val="00AC31C4"/>
    <w:rsid w:val="00AC6656"/>
    <w:rsid w:val="00AC6FA9"/>
    <w:rsid w:val="00AC7B32"/>
    <w:rsid w:val="00AD1C08"/>
    <w:rsid w:val="00AD47D2"/>
    <w:rsid w:val="00AD6E2F"/>
    <w:rsid w:val="00AD7CD0"/>
    <w:rsid w:val="00AE0899"/>
    <w:rsid w:val="00AE10D5"/>
    <w:rsid w:val="00AE2410"/>
    <w:rsid w:val="00AE4193"/>
    <w:rsid w:val="00AE4438"/>
    <w:rsid w:val="00AE786C"/>
    <w:rsid w:val="00AF03A6"/>
    <w:rsid w:val="00AF2B78"/>
    <w:rsid w:val="00AF6819"/>
    <w:rsid w:val="00B07DDD"/>
    <w:rsid w:val="00B101F8"/>
    <w:rsid w:val="00B15F67"/>
    <w:rsid w:val="00B1789F"/>
    <w:rsid w:val="00B235AD"/>
    <w:rsid w:val="00B241B6"/>
    <w:rsid w:val="00B25072"/>
    <w:rsid w:val="00B27AA4"/>
    <w:rsid w:val="00B33582"/>
    <w:rsid w:val="00B35DDE"/>
    <w:rsid w:val="00B37E7F"/>
    <w:rsid w:val="00B47014"/>
    <w:rsid w:val="00B56494"/>
    <w:rsid w:val="00B606DE"/>
    <w:rsid w:val="00B635D2"/>
    <w:rsid w:val="00B64C1E"/>
    <w:rsid w:val="00B70188"/>
    <w:rsid w:val="00B71B8E"/>
    <w:rsid w:val="00B72119"/>
    <w:rsid w:val="00B72A66"/>
    <w:rsid w:val="00B74469"/>
    <w:rsid w:val="00B8034C"/>
    <w:rsid w:val="00B8049E"/>
    <w:rsid w:val="00B8068A"/>
    <w:rsid w:val="00B87A60"/>
    <w:rsid w:val="00B924C2"/>
    <w:rsid w:val="00B9319A"/>
    <w:rsid w:val="00B9423B"/>
    <w:rsid w:val="00B94BF5"/>
    <w:rsid w:val="00BA42F6"/>
    <w:rsid w:val="00BA75CC"/>
    <w:rsid w:val="00BA7FD4"/>
    <w:rsid w:val="00BB009F"/>
    <w:rsid w:val="00BB238E"/>
    <w:rsid w:val="00BB4166"/>
    <w:rsid w:val="00BB43E0"/>
    <w:rsid w:val="00BC7C15"/>
    <w:rsid w:val="00BD0CDA"/>
    <w:rsid w:val="00BD10E0"/>
    <w:rsid w:val="00BD7C26"/>
    <w:rsid w:val="00BD7DCD"/>
    <w:rsid w:val="00BF009F"/>
    <w:rsid w:val="00BF260D"/>
    <w:rsid w:val="00BF7685"/>
    <w:rsid w:val="00C01021"/>
    <w:rsid w:val="00C066BF"/>
    <w:rsid w:val="00C105DF"/>
    <w:rsid w:val="00C16BF5"/>
    <w:rsid w:val="00C201E0"/>
    <w:rsid w:val="00C20238"/>
    <w:rsid w:val="00C202B7"/>
    <w:rsid w:val="00C20DC3"/>
    <w:rsid w:val="00C22712"/>
    <w:rsid w:val="00C235AE"/>
    <w:rsid w:val="00C26902"/>
    <w:rsid w:val="00C26F69"/>
    <w:rsid w:val="00C30BBA"/>
    <w:rsid w:val="00C30CB3"/>
    <w:rsid w:val="00C33F3E"/>
    <w:rsid w:val="00C364DF"/>
    <w:rsid w:val="00C37B2B"/>
    <w:rsid w:val="00C37B90"/>
    <w:rsid w:val="00C418EF"/>
    <w:rsid w:val="00C4536D"/>
    <w:rsid w:val="00C60707"/>
    <w:rsid w:val="00C6254F"/>
    <w:rsid w:val="00C71E9E"/>
    <w:rsid w:val="00C80849"/>
    <w:rsid w:val="00C85B2E"/>
    <w:rsid w:val="00C9056E"/>
    <w:rsid w:val="00C908F2"/>
    <w:rsid w:val="00C9180B"/>
    <w:rsid w:val="00C91F9D"/>
    <w:rsid w:val="00C95A6F"/>
    <w:rsid w:val="00C96D01"/>
    <w:rsid w:val="00C96D61"/>
    <w:rsid w:val="00C97CFE"/>
    <w:rsid w:val="00CA0A4C"/>
    <w:rsid w:val="00CA2E9B"/>
    <w:rsid w:val="00CA596F"/>
    <w:rsid w:val="00CA712B"/>
    <w:rsid w:val="00CC00E4"/>
    <w:rsid w:val="00CC115F"/>
    <w:rsid w:val="00CC159B"/>
    <w:rsid w:val="00CC174D"/>
    <w:rsid w:val="00CC47CE"/>
    <w:rsid w:val="00CC54F9"/>
    <w:rsid w:val="00CD220E"/>
    <w:rsid w:val="00CD24AD"/>
    <w:rsid w:val="00CD58D4"/>
    <w:rsid w:val="00CD6A42"/>
    <w:rsid w:val="00CE5EAC"/>
    <w:rsid w:val="00CE66E8"/>
    <w:rsid w:val="00CE6C99"/>
    <w:rsid w:val="00CF421A"/>
    <w:rsid w:val="00CF4981"/>
    <w:rsid w:val="00CF4EAE"/>
    <w:rsid w:val="00D0068D"/>
    <w:rsid w:val="00D0251A"/>
    <w:rsid w:val="00D04952"/>
    <w:rsid w:val="00D04A9C"/>
    <w:rsid w:val="00D06264"/>
    <w:rsid w:val="00D17375"/>
    <w:rsid w:val="00D23C62"/>
    <w:rsid w:val="00D242A0"/>
    <w:rsid w:val="00D25A50"/>
    <w:rsid w:val="00D27701"/>
    <w:rsid w:val="00D308AD"/>
    <w:rsid w:val="00D310FF"/>
    <w:rsid w:val="00D32CC7"/>
    <w:rsid w:val="00D352E3"/>
    <w:rsid w:val="00D40E7E"/>
    <w:rsid w:val="00D415DD"/>
    <w:rsid w:val="00D420BE"/>
    <w:rsid w:val="00D4441E"/>
    <w:rsid w:val="00D45A12"/>
    <w:rsid w:val="00D5157F"/>
    <w:rsid w:val="00D52D89"/>
    <w:rsid w:val="00D57280"/>
    <w:rsid w:val="00D574F8"/>
    <w:rsid w:val="00D644FF"/>
    <w:rsid w:val="00D6506F"/>
    <w:rsid w:val="00D6575C"/>
    <w:rsid w:val="00D70AFE"/>
    <w:rsid w:val="00D77330"/>
    <w:rsid w:val="00D8059A"/>
    <w:rsid w:val="00D80FC8"/>
    <w:rsid w:val="00D840E3"/>
    <w:rsid w:val="00D84AD3"/>
    <w:rsid w:val="00D87182"/>
    <w:rsid w:val="00DA0561"/>
    <w:rsid w:val="00DA23AA"/>
    <w:rsid w:val="00DA4BAC"/>
    <w:rsid w:val="00DA7058"/>
    <w:rsid w:val="00DA7DFB"/>
    <w:rsid w:val="00DB5060"/>
    <w:rsid w:val="00DC419D"/>
    <w:rsid w:val="00DC4349"/>
    <w:rsid w:val="00DD52FE"/>
    <w:rsid w:val="00DD54D8"/>
    <w:rsid w:val="00DE0934"/>
    <w:rsid w:val="00DE0BC2"/>
    <w:rsid w:val="00DE62AC"/>
    <w:rsid w:val="00DE7271"/>
    <w:rsid w:val="00DE7B67"/>
    <w:rsid w:val="00DE7F30"/>
    <w:rsid w:val="00DF1060"/>
    <w:rsid w:val="00DF10FC"/>
    <w:rsid w:val="00DF6702"/>
    <w:rsid w:val="00DF7A75"/>
    <w:rsid w:val="00E07C12"/>
    <w:rsid w:val="00E07DB4"/>
    <w:rsid w:val="00E128CE"/>
    <w:rsid w:val="00E129AF"/>
    <w:rsid w:val="00E14ABE"/>
    <w:rsid w:val="00E21135"/>
    <w:rsid w:val="00E25398"/>
    <w:rsid w:val="00E32DB3"/>
    <w:rsid w:val="00E33687"/>
    <w:rsid w:val="00E37122"/>
    <w:rsid w:val="00E402EF"/>
    <w:rsid w:val="00E50071"/>
    <w:rsid w:val="00E53D06"/>
    <w:rsid w:val="00E55B1A"/>
    <w:rsid w:val="00E55B8F"/>
    <w:rsid w:val="00E64C0E"/>
    <w:rsid w:val="00E654F9"/>
    <w:rsid w:val="00E65935"/>
    <w:rsid w:val="00E67DAC"/>
    <w:rsid w:val="00E72C4B"/>
    <w:rsid w:val="00E774DD"/>
    <w:rsid w:val="00E83EE7"/>
    <w:rsid w:val="00E91EC4"/>
    <w:rsid w:val="00E9526B"/>
    <w:rsid w:val="00E95996"/>
    <w:rsid w:val="00EA2719"/>
    <w:rsid w:val="00EB4C88"/>
    <w:rsid w:val="00EB52B1"/>
    <w:rsid w:val="00EB70AD"/>
    <w:rsid w:val="00EB7F3E"/>
    <w:rsid w:val="00EC18F3"/>
    <w:rsid w:val="00EC32EA"/>
    <w:rsid w:val="00EC671B"/>
    <w:rsid w:val="00ED2D1C"/>
    <w:rsid w:val="00ED3281"/>
    <w:rsid w:val="00ED45CD"/>
    <w:rsid w:val="00ED4F6A"/>
    <w:rsid w:val="00ED606B"/>
    <w:rsid w:val="00ED7A2E"/>
    <w:rsid w:val="00EE09D8"/>
    <w:rsid w:val="00EE4759"/>
    <w:rsid w:val="00EE501A"/>
    <w:rsid w:val="00EE547C"/>
    <w:rsid w:val="00EF40DF"/>
    <w:rsid w:val="00EF4AF7"/>
    <w:rsid w:val="00EF608E"/>
    <w:rsid w:val="00F00ABB"/>
    <w:rsid w:val="00F02BAE"/>
    <w:rsid w:val="00F041E0"/>
    <w:rsid w:val="00F04C6D"/>
    <w:rsid w:val="00F04E75"/>
    <w:rsid w:val="00F0728A"/>
    <w:rsid w:val="00F122BC"/>
    <w:rsid w:val="00F155C1"/>
    <w:rsid w:val="00F20D06"/>
    <w:rsid w:val="00F2180F"/>
    <w:rsid w:val="00F24533"/>
    <w:rsid w:val="00F268A9"/>
    <w:rsid w:val="00F3012D"/>
    <w:rsid w:val="00F30DE1"/>
    <w:rsid w:val="00F317AE"/>
    <w:rsid w:val="00F470E0"/>
    <w:rsid w:val="00F47D4E"/>
    <w:rsid w:val="00F509DE"/>
    <w:rsid w:val="00F52570"/>
    <w:rsid w:val="00F60D37"/>
    <w:rsid w:val="00F60DC0"/>
    <w:rsid w:val="00F63EA6"/>
    <w:rsid w:val="00F64532"/>
    <w:rsid w:val="00F647E2"/>
    <w:rsid w:val="00F71392"/>
    <w:rsid w:val="00F74B2B"/>
    <w:rsid w:val="00F76866"/>
    <w:rsid w:val="00F773BB"/>
    <w:rsid w:val="00F81784"/>
    <w:rsid w:val="00F831E4"/>
    <w:rsid w:val="00F90A17"/>
    <w:rsid w:val="00F94145"/>
    <w:rsid w:val="00F9427B"/>
    <w:rsid w:val="00F94581"/>
    <w:rsid w:val="00FA3D03"/>
    <w:rsid w:val="00FA450E"/>
    <w:rsid w:val="00FA780E"/>
    <w:rsid w:val="00FB6C34"/>
    <w:rsid w:val="00FC5D24"/>
    <w:rsid w:val="00FC6C46"/>
    <w:rsid w:val="00FD0EF0"/>
    <w:rsid w:val="00FD11CB"/>
    <w:rsid w:val="00FD1E9D"/>
    <w:rsid w:val="00FD71CA"/>
    <w:rsid w:val="00FE3168"/>
    <w:rsid w:val="00FE70C8"/>
    <w:rsid w:val="00FF12F2"/>
    <w:rsid w:val="00FF24BE"/>
    <w:rsid w:val="00FF3132"/>
    <w:rsid w:val="00FF33F6"/>
    <w:rsid w:val="00FF56B5"/>
    <w:rsid w:val="00FF56F8"/>
    <w:rsid w:val="00FF5C3C"/>
    <w:rsid w:val="00FF64F1"/>
    <w:rsid w:val="00FF6F85"/>
    <w:rsid w:val="00FF728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0F34E12-7F06-4CD1-B5FC-B68E98ECD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BAB"/>
    <w:pPr>
      <w:spacing w:before="120" w:after="120"/>
    </w:pPr>
    <w:rPr>
      <w:rFonts w:asciiTheme="minorHAnsi" w:eastAsia="Calibri" w:hAnsiTheme="minorHAnsi"/>
      <w:sz w:val="22"/>
      <w:szCs w:val="22"/>
      <w:lang w:eastAsia="en-US"/>
    </w:rPr>
  </w:style>
  <w:style w:type="paragraph" w:styleId="Heading1">
    <w:name w:val="heading 1"/>
    <w:basedOn w:val="Normal"/>
    <w:next w:val="Normal"/>
    <w:link w:val="Heading1Char"/>
    <w:qFormat/>
    <w:rsid w:val="00E50071"/>
    <w:pPr>
      <w:keepNext/>
      <w:spacing w:before="240" w:after="60"/>
      <w:outlineLvl w:val="0"/>
    </w:pPr>
    <w:rPr>
      <w:rFonts w:ascii="Futura-Light" w:hAnsi="Futura-Light" w:cs="Arial"/>
      <w:b/>
      <w:bCs/>
      <w:kern w:val="32"/>
      <w:sz w:val="28"/>
      <w:szCs w:val="32"/>
      <w:lang w:val="en-US"/>
    </w:rPr>
  </w:style>
  <w:style w:type="paragraph" w:styleId="Heading2">
    <w:name w:val="heading 2"/>
    <w:basedOn w:val="Normal"/>
    <w:next w:val="Normal"/>
    <w:link w:val="Heading2Char"/>
    <w:uiPriority w:val="9"/>
    <w:unhideWhenUsed/>
    <w:qFormat/>
    <w:rsid w:val="00C26902"/>
    <w:pPr>
      <w:keepNext/>
      <w:keepLines/>
      <w:numPr>
        <w:numId w:val="6"/>
      </w:numPr>
      <w:spacing w:before="360" w:after="60" w:line="276" w:lineRule="auto"/>
      <w:outlineLvl w:val="1"/>
    </w:pPr>
    <w:rPr>
      <w:rFonts w:ascii="Calibri" w:hAnsi="Calibri"/>
      <w:b/>
      <w:bCs/>
      <w:color w:val="00558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6184"/>
    <w:pPr>
      <w:tabs>
        <w:tab w:val="center" w:pos="4153"/>
        <w:tab w:val="right" w:pos="8306"/>
      </w:tabs>
    </w:pPr>
  </w:style>
  <w:style w:type="paragraph" w:styleId="Footer">
    <w:name w:val="footer"/>
    <w:basedOn w:val="Normal"/>
    <w:link w:val="FooterChar"/>
    <w:uiPriority w:val="99"/>
    <w:rsid w:val="008C6184"/>
    <w:pPr>
      <w:tabs>
        <w:tab w:val="center" w:pos="4153"/>
        <w:tab w:val="right" w:pos="8306"/>
      </w:tabs>
    </w:pPr>
  </w:style>
  <w:style w:type="character" w:styleId="PageNumber">
    <w:name w:val="page number"/>
    <w:basedOn w:val="DefaultParagraphFont"/>
    <w:rsid w:val="008C6184"/>
  </w:style>
  <w:style w:type="table" w:styleId="TableGrid">
    <w:name w:val="Table Grid"/>
    <w:basedOn w:val="TableNormal"/>
    <w:rsid w:val="008C61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C6184"/>
    <w:rPr>
      <w:color w:val="0000FF"/>
      <w:u w:val="single"/>
    </w:rPr>
  </w:style>
  <w:style w:type="paragraph" w:styleId="BodyText">
    <w:name w:val="Body Text"/>
    <w:basedOn w:val="Normal"/>
    <w:link w:val="BodyTextChar"/>
    <w:rsid w:val="00DE7F30"/>
    <w:pPr>
      <w:overflowPunct w:val="0"/>
      <w:autoSpaceDE w:val="0"/>
      <w:autoSpaceDN w:val="0"/>
      <w:adjustRightInd w:val="0"/>
    </w:pPr>
    <w:rPr>
      <w:szCs w:val="20"/>
      <w:lang w:val="en-US"/>
    </w:rPr>
  </w:style>
  <w:style w:type="paragraph" w:styleId="BodyTextIndent">
    <w:name w:val="Body Text Indent"/>
    <w:basedOn w:val="Normal"/>
    <w:rsid w:val="00DE7F30"/>
    <w:pPr>
      <w:widowControl w:val="0"/>
      <w:autoSpaceDE w:val="0"/>
      <w:autoSpaceDN w:val="0"/>
      <w:adjustRightInd w:val="0"/>
      <w:ind w:left="720"/>
    </w:pPr>
    <w:rPr>
      <w:i/>
      <w:iCs/>
      <w:szCs w:val="20"/>
      <w:lang w:val="en-US"/>
    </w:rPr>
  </w:style>
  <w:style w:type="paragraph" w:styleId="BodyText2">
    <w:name w:val="Body Text 2"/>
    <w:basedOn w:val="Normal"/>
    <w:link w:val="BodyText2Char"/>
    <w:rsid w:val="00DE7F30"/>
    <w:pPr>
      <w:jc w:val="center"/>
    </w:pPr>
    <w:rPr>
      <w:szCs w:val="20"/>
      <w:lang w:val="en-US"/>
    </w:rPr>
  </w:style>
  <w:style w:type="paragraph" w:styleId="BodyTextIndent2">
    <w:name w:val="Body Text Indent 2"/>
    <w:basedOn w:val="Normal"/>
    <w:rsid w:val="00DE7F30"/>
    <w:pPr>
      <w:ind w:left="360"/>
    </w:pPr>
    <w:rPr>
      <w:rFonts w:ascii="Futura-Light" w:hAnsi="Futura-Light"/>
    </w:rPr>
  </w:style>
  <w:style w:type="character" w:customStyle="1" w:styleId="bcdisabled1">
    <w:name w:val="bcdisabled1"/>
    <w:basedOn w:val="DefaultParagraphFont"/>
    <w:rsid w:val="001309CB"/>
    <w:rPr>
      <w:b w:val="0"/>
      <w:bCs w:val="0"/>
      <w:color w:val="6B6B6B"/>
    </w:rPr>
  </w:style>
  <w:style w:type="character" w:customStyle="1" w:styleId="bcactive1">
    <w:name w:val="bcactive1"/>
    <w:basedOn w:val="DefaultParagraphFont"/>
    <w:rsid w:val="001309CB"/>
    <w:rPr>
      <w:b/>
      <w:bCs/>
      <w:color w:val="000000"/>
    </w:rPr>
  </w:style>
  <w:style w:type="paragraph" w:styleId="BodyText3">
    <w:name w:val="Body Text 3"/>
    <w:basedOn w:val="Normal"/>
    <w:rsid w:val="00901704"/>
    <w:rPr>
      <w:sz w:val="16"/>
      <w:szCs w:val="16"/>
    </w:rPr>
  </w:style>
  <w:style w:type="paragraph" w:styleId="BalloonText">
    <w:name w:val="Balloon Text"/>
    <w:basedOn w:val="Normal"/>
    <w:semiHidden/>
    <w:rsid w:val="006060A8"/>
    <w:rPr>
      <w:rFonts w:ascii="Tahoma" w:hAnsi="Tahoma" w:cs="Tahoma"/>
      <w:sz w:val="16"/>
      <w:szCs w:val="16"/>
    </w:rPr>
  </w:style>
  <w:style w:type="paragraph" w:styleId="ListParagraph">
    <w:name w:val="List Paragraph"/>
    <w:basedOn w:val="Normal"/>
    <w:uiPriority w:val="34"/>
    <w:qFormat/>
    <w:rsid w:val="007D436F"/>
    <w:pPr>
      <w:spacing w:after="200" w:line="276" w:lineRule="auto"/>
      <w:ind w:left="720"/>
      <w:contextualSpacing/>
    </w:pPr>
    <w:rPr>
      <w:rFonts w:ascii="Calibri" w:hAnsi="Calibri"/>
    </w:rPr>
  </w:style>
  <w:style w:type="character" w:styleId="FollowedHyperlink">
    <w:name w:val="FollowedHyperlink"/>
    <w:basedOn w:val="DefaultParagraphFont"/>
    <w:rsid w:val="00CC174D"/>
    <w:rPr>
      <w:color w:val="800080"/>
      <w:u w:val="single"/>
    </w:rPr>
  </w:style>
  <w:style w:type="character" w:styleId="CommentReference">
    <w:name w:val="annotation reference"/>
    <w:basedOn w:val="DefaultParagraphFont"/>
    <w:rsid w:val="00DA23AA"/>
    <w:rPr>
      <w:sz w:val="16"/>
      <w:szCs w:val="16"/>
    </w:rPr>
  </w:style>
  <w:style w:type="paragraph" w:styleId="CommentText">
    <w:name w:val="annotation text"/>
    <w:basedOn w:val="Normal"/>
    <w:link w:val="CommentTextChar"/>
    <w:rsid w:val="00DA23AA"/>
    <w:rPr>
      <w:sz w:val="20"/>
      <w:szCs w:val="20"/>
    </w:rPr>
  </w:style>
  <w:style w:type="character" w:customStyle="1" w:styleId="CommentTextChar">
    <w:name w:val="Comment Text Char"/>
    <w:basedOn w:val="DefaultParagraphFont"/>
    <w:link w:val="CommentText"/>
    <w:rsid w:val="00DA23AA"/>
  </w:style>
  <w:style w:type="paragraph" w:styleId="CommentSubject">
    <w:name w:val="annotation subject"/>
    <w:basedOn w:val="CommentText"/>
    <w:next w:val="CommentText"/>
    <w:link w:val="CommentSubjectChar"/>
    <w:rsid w:val="00DA23AA"/>
    <w:rPr>
      <w:b/>
      <w:bCs/>
    </w:rPr>
  </w:style>
  <w:style w:type="character" w:customStyle="1" w:styleId="CommentSubjectChar">
    <w:name w:val="Comment Subject Char"/>
    <w:basedOn w:val="CommentTextChar"/>
    <w:link w:val="CommentSubject"/>
    <w:rsid w:val="00DA23AA"/>
    <w:rPr>
      <w:b/>
      <w:bCs/>
    </w:rPr>
  </w:style>
  <w:style w:type="character" w:customStyle="1" w:styleId="Heading1Char">
    <w:name w:val="Heading 1 Char"/>
    <w:basedOn w:val="DefaultParagraphFont"/>
    <w:link w:val="Heading1"/>
    <w:rsid w:val="00E50071"/>
    <w:rPr>
      <w:rFonts w:ascii="Futura-Light" w:hAnsi="Futura-Light" w:cs="Arial"/>
      <w:b/>
      <w:bCs/>
      <w:kern w:val="32"/>
      <w:sz w:val="28"/>
      <w:szCs w:val="32"/>
      <w:lang w:val="en-US" w:eastAsia="en-US"/>
    </w:rPr>
  </w:style>
  <w:style w:type="paragraph" w:styleId="FootnoteText">
    <w:name w:val="footnote text"/>
    <w:basedOn w:val="Normal"/>
    <w:link w:val="FootnoteTextChar"/>
    <w:uiPriority w:val="99"/>
    <w:rsid w:val="0050377A"/>
    <w:rPr>
      <w:rFonts w:ascii="Arial" w:hAnsi="Arial"/>
      <w:sz w:val="20"/>
      <w:szCs w:val="20"/>
      <w:lang w:val="en-US"/>
    </w:rPr>
  </w:style>
  <w:style w:type="character" w:customStyle="1" w:styleId="FootnoteTextChar">
    <w:name w:val="Footnote Text Char"/>
    <w:basedOn w:val="DefaultParagraphFont"/>
    <w:link w:val="FootnoteText"/>
    <w:uiPriority w:val="99"/>
    <w:rsid w:val="0050377A"/>
    <w:rPr>
      <w:rFonts w:ascii="Arial" w:hAnsi="Arial"/>
      <w:lang w:val="en-US" w:eastAsia="en-US"/>
    </w:rPr>
  </w:style>
  <w:style w:type="character" w:styleId="FootnoteReference">
    <w:name w:val="footnote reference"/>
    <w:basedOn w:val="DefaultParagraphFont"/>
    <w:uiPriority w:val="99"/>
    <w:rsid w:val="0050377A"/>
    <w:rPr>
      <w:rFonts w:cs="Times New Roman"/>
      <w:vertAlign w:val="superscript"/>
    </w:rPr>
  </w:style>
  <w:style w:type="character" w:customStyle="1" w:styleId="Heading2Char">
    <w:name w:val="Heading 2 Char"/>
    <w:basedOn w:val="DefaultParagraphFont"/>
    <w:link w:val="Heading2"/>
    <w:uiPriority w:val="9"/>
    <w:rsid w:val="00C26902"/>
    <w:rPr>
      <w:rFonts w:ascii="Calibri" w:eastAsia="Calibri" w:hAnsi="Calibri"/>
      <w:b/>
      <w:bCs/>
      <w:color w:val="005581"/>
      <w:sz w:val="22"/>
      <w:szCs w:val="26"/>
      <w:lang w:eastAsia="en-US"/>
    </w:rPr>
  </w:style>
  <w:style w:type="character" w:customStyle="1" w:styleId="HeaderChar">
    <w:name w:val="Header Char"/>
    <w:link w:val="Header"/>
    <w:uiPriority w:val="99"/>
    <w:rsid w:val="00875263"/>
    <w:rPr>
      <w:sz w:val="24"/>
      <w:szCs w:val="24"/>
    </w:rPr>
  </w:style>
  <w:style w:type="character" w:customStyle="1" w:styleId="FooterChar">
    <w:name w:val="Footer Char"/>
    <w:link w:val="Footer"/>
    <w:uiPriority w:val="99"/>
    <w:rsid w:val="00875263"/>
    <w:rPr>
      <w:sz w:val="24"/>
      <w:szCs w:val="24"/>
    </w:rPr>
  </w:style>
  <w:style w:type="paragraph" w:customStyle="1" w:styleId="Default">
    <w:name w:val="Default"/>
    <w:rsid w:val="00D242A0"/>
    <w:pPr>
      <w:autoSpaceDE w:val="0"/>
      <w:autoSpaceDN w:val="0"/>
      <w:adjustRightInd w:val="0"/>
    </w:pPr>
    <w:rPr>
      <w:rFonts w:ascii="Arial" w:eastAsiaTheme="minorHAnsi" w:hAnsi="Arial" w:cs="Arial"/>
      <w:color w:val="000000"/>
      <w:sz w:val="24"/>
      <w:szCs w:val="24"/>
      <w:lang w:eastAsia="en-US"/>
    </w:rPr>
  </w:style>
  <w:style w:type="paragraph" w:styleId="Title">
    <w:name w:val="Title"/>
    <w:basedOn w:val="Normal"/>
    <w:next w:val="Normal"/>
    <w:link w:val="TitleChar"/>
    <w:qFormat/>
    <w:rsid w:val="00C26902"/>
    <w:pPr>
      <w:pBdr>
        <w:bottom w:val="single" w:sz="8" w:space="4" w:color="4F81BD" w:themeColor="accent1"/>
      </w:pBdr>
      <w:spacing w:after="300"/>
      <w:contextualSpacing/>
    </w:pPr>
    <w:rPr>
      <w:rFonts w:eastAsiaTheme="majorEastAsia" w:cstheme="majorBidi"/>
      <w:b/>
      <w:color w:val="17365D" w:themeColor="text2" w:themeShade="BF"/>
      <w:spacing w:val="5"/>
      <w:kern w:val="28"/>
      <w:sz w:val="40"/>
      <w:szCs w:val="40"/>
    </w:rPr>
  </w:style>
  <w:style w:type="character" w:customStyle="1" w:styleId="TitleChar">
    <w:name w:val="Title Char"/>
    <w:basedOn w:val="DefaultParagraphFont"/>
    <w:link w:val="Title"/>
    <w:rsid w:val="00C26902"/>
    <w:rPr>
      <w:rFonts w:asciiTheme="minorHAnsi" w:eastAsiaTheme="majorEastAsia" w:hAnsiTheme="minorHAnsi" w:cstheme="majorBidi"/>
      <w:b/>
      <w:color w:val="17365D" w:themeColor="text2" w:themeShade="BF"/>
      <w:spacing w:val="5"/>
      <w:kern w:val="28"/>
      <w:sz w:val="40"/>
      <w:szCs w:val="40"/>
      <w:lang w:eastAsia="en-US"/>
    </w:rPr>
  </w:style>
  <w:style w:type="paragraph" w:styleId="NoSpacing">
    <w:name w:val="No Spacing"/>
    <w:uiPriority w:val="1"/>
    <w:qFormat/>
    <w:rsid w:val="00010E41"/>
    <w:rPr>
      <w:sz w:val="24"/>
      <w:szCs w:val="24"/>
    </w:rPr>
  </w:style>
  <w:style w:type="character" w:styleId="Emphasis">
    <w:name w:val="Emphasis"/>
    <w:basedOn w:val="DefaultParagraphFont"/>
    <w:uiPriority w:val="20"/>
    <w:qFormat/>
    <w:rsid w:val="00145477"/>
    <w:rPr>
      <w:i/>
      <w:iCs/>
    </w:rPr>
  </w:style>
  <w:style w:type="character" w:customStyle="1" w:styleId="BodyText2Char">
    <w:name w:val="Body Text 2 Char"/>
    <w:basedOn w:val="DefaultParagraphFont"/>
    <w:link w:val="BodyText2"/>
    <w:rsid w:val="00DE7271"/>
    <w:rPr>
      <w:sz w:val="24"/>
      <w:lang w:val="en-US" w:eastAsia="en-US"/>
    </w:rPr>
  </w:style>
  <w:style w:type="character" w:customStyle="1" w:styleId="BodyTextChar">
    <w:name w:val="Body Text Char"/>
    <w:basedOn w:val="DefaultParagraphFont"/>
    <w:link w:val="BodyText"/>
    <w:rsid w:val="00EE4759"/>
    <w:rPr>
      <w:sz w:val="24"/>
      <w:lang w:val="en-US" w:eastAsia="en-US"/>
    </w:rPr>
  </w:style>
  <w:style w:type="paragraph" w:styleId="TOCHeading">
    <w:name w:val="TOC Heading"/>
    <w:basedOn w:val="Heading1"/>
    <w:next w:val="Normal"/>
    <w:uiPriority w:val="39"/>
    <w:unhideWhenUsed/>
    <w:qFormat/>
    <w:rsid w:val="00296854"/>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OC2">
    <w:name w:val="toc 2"/>
    <w:basedOn w:val="Normal"/>
    <w:next w:val="Normal"/>
    <w:autoRedefine/>
    <w:uiPriority w:val="39"/>
    <w:unhideWhenUsed/>
    <w:rsid w:val="005F3F5B"/>
    <w:pPr>
      <w:tabs>
        <w:tab w:val="left" w:pos="993"/>
        <w:tab w:val="right" w:pos="7797"/>
      </w:tabs>
      <w:spacing w:before="0" w:after="6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78236">
      <w:bodyDiv w:val="1"/>
      <w:marLeft w:val="0"/>
      <w:marRight w:val="0"/>
      <w:marTop w:val="0"/>
      <w:marBottom w:val="0"/>
      <w:divBdr>
        <w:top w:val="none" w:sz="0" w:space="0" w:color="auto"/>
        <w:left w:val="none" w:sz="0" w:space="0" w:color="auto"/>
        <w:bottom w:val="none" w:sz="0" w:space="0" w:color="auto"/>
        <w:right w:val="none" w:sz="0" w:space="0" w:color="auto"/>
      </w:divBdr>
    </w:div>
    <w:div w:id="76631813">
      <w:bodyDiv w:val="1"/>
      <w:marLeft w:val="0"/>
      <w:marRight w:val="0"/>
      <w:marTop w:val="0"/>
      <w:marBottom w:val="0"/>
      <w:divBdr>
        <w:top w:val="none" w:sz="0" w:space="0" w:color="auto"/>
        <w:left w:val="none" w:sz="0" w:space="0" w:color="auto"/>
        <w:bottom w:val="none" w:sz="0" w:space="0" w:color="auto"/>
        <w:right w:val="none" w:sz="0" w:space="0" w:color="auto"/>
      </w:divBdr>
    </w:div>
    <w:div w:id="140273851">
      <w:bodyDiv w:val="1"/>
      <w:marLeft w:val="0"/>
      <w:marRight w:val="0"/>
      <w:marTop w:val="0"/>
      <w:marBottom w:val="0"/>
      <w:divBdr>
        <w:top w:val="none" w:sz="0" w:space="0" w:color="auto"/>
        <w:left w:val="none" w:sz="0" w:space="0" w:color="auto"/>
        <w:bottom w:val="none" w:sz="0" w:space="0" w:color="auto"/>
        <w:right w:val="none" w:sz="0" w:space="0" w:color="auto"/>
      </w:divBdr>
    </w:div>
    <w:div w:id="154957361">
      <w:bodyDiv w:val="1"/>
      <w:marLeft w:val="0"/>
      <w:marRight w:val="0"/>
      <w:marTop w:val="0"/>
      <w:marBottom w:val="0"/>
      <w:divBdr>
        <w:top w:val="none" w:sz="0" w:space="0" w:color="auto"/>
        <w:left w:val="none" w:sz="0" w:space="0" w:color="auto"/>
        <w:bottom w:val="none" w:sz="0" w:space="0" w:color="auto"/>
        <w:right w:val="none" w:sz="0" w:space="0" w:color="auto"/>
      </w:divBdr>
    </w:div>
    <w:div w:id="161825570">
      <w:bodyDiv w:val="1"/>
      <w:marLeft w:val="0"/>
      <w:marRight w:val="0"/>
      <w:marTop w:val="0"/>
      <w:marBottom w:val="0"/>
      <w:divBdr>
        <w:top w:val="none" w:sz="0" w:space="0" w:color="auto"/>
        <w:left w:val="none" w:sz="0" w:space="0" w:color="auto"/>
        <w:bottom w:val="none" w:sz="0" w:space="0" w:color="auto"/>
        <w:right w:val="none" w:sz="0" w:space="0" w:color="auto"/>
      </w:divBdr>
    </w:div>
    <w:div w:id="248857851">
      <w:bodyDiv w:val="1"/>
      <w:marLeft w:val="0"/>
      <w:marRight w:val="0"/>
      <w:marTop w:val="0"/>
      <w:marBottom w:val="0"/>
      <w:divBdr>
        <w:top w:val="none" w:sz="0" w:space="0" w:color="auto"/>
        <w:left w:val="none" w:sz="0" w:space="0" w:color="auto"/>
        <w:bottom w:val="none" w:sz="0" w:space="0" w:color="auto"/>
        <w:right w:val="none" w:sz="0" w:space="0" w:color="auto"/>
      </w:divBdr>
    </w:div>
    <w:div w:id="254635238">
      <w:bodyDiv w:val="1"/>
      <w:marLeft w:val="0"/>
      <w:marRight w:val="0"/>
      <w:marTop w:val="0"/>
      <w:marBottom w:val="0"/>
      <w:divBdr>
        <w:top w:val="none" w:sz="0" w:space="0" w:color="auto"/>
        <w:left w:val="none" w:sz="0" w:space="0" w:color="auto"/>
        <w:bottom w:val="none" w:sz="0" w:space="0" w:color="auto"/>
        <w:right w:val="none" w:sz="0" w:space="0" w:color="auto"/>
      </w:divBdr>
    </w:div>
    <w:div w:id="298262858">
      <w:bodyDiv w:val="1"/>
      <w:marLeft w:val="0"/>
      <w:marRight w:val="0"/>
      <w:marTop w:val="0"/>
      <w:marBottom w:val="0"/>
      <w:divBdr>
        <w:top w:val="none" w:sz="0" w:space="0" w:color="auto"/>
        <w:left w:val="none" w:sz="0" w:space="0" w:color="auto"/>
        <w:bottom w:val="none" w:sz="0" w:space="0" w:color="auto"/>
        <w:right w:val="none" w:sz="0" w:space="0" w:color="auto"/>
      </w:divBdr>
    </w:div>
    <w:div w:id="399786591">
      <w:bodyDiv w:val="1"/>
      <w:marLeft w:val="0"/>
      <w:marRight w:val="0"/>
      <w:marTop w:val="0"/>
      <w:marBottom w:val="0"/>
      <w:divBdr>
        <w:top w:val="none" w:sz="0" w:space="0" w:color="auto"/>
        <w:left w:val="none" w:sz="0" w:space="0" w:color="auto"/>
        <w:bottom w:val="none" w:sz="0" w:space="0" w:color="auto"/>
        <w:right w:val="none" w:sz="0" w:space="0" w:color="auto"/>
      </w:divBdr>
    </w:div>
    <w:div w:id="487787503">
      <w:bodyDiv w:val="1"/>
      <w:marLeft w:val="0"/>
      <w:marRight w:val="0"/>
      <w:marTop w:val="0"/>
      <w:marBottom w:val="0"/>
      <w:divBdr>
        <w:top w:val="none" w:sz="0" w:space="0" w:color="auto"/>
        <w:left w:val="none" w:sz="0" w:space="0" w:color="auto"/>
        <w:bottom w:val="none" w:sz="0" w:space="0" w:color="auto"/>
        <w:right w:val="none" w:sz="0" w:space="0" w:color="auto"/>
      </w:divBdr>
    </w:div>
    <w:div w:id="549073911">
      <w:bodyDiv w:val="1"/>
      <w:marLeft w:val="0"/>
      <w:marRight w:val="0"/>
      <w:marTop w:val="0"/>
      <w:marBottom w:val="0"/>
      <w:divBdr>
        <w:top w:val="none" w:sz="0" w:space="0" w:color="auto"/>
        <w:left w:val="none" w:sz="0" w:space="0" w:color="auto"/>
        <w:bottom w:val="none" w:sz="0" w:space="0" w:color="auto"/>
        <w:right w:val="none" w:sz="0" w:space="0" w:color="auto"/>
      </w:divBdr>
    </w:div>
    <w:div w:id="606038561">
      <w:bodyDiv w:val="1"/>
      <w:marLeft w:val="0"/>
      <w:marRight w:val="0"/>
      <w:marTop w:val="0"/>
      <w:marBottom w:val="0"/>
      <w:divBdr>
        <w:top w:val="none" w:sz="0" w:space="0" w:color="auto"/>
        <w:left w:val="none" w:sz="0" w:space="0" w:color="auto"/>
        <w:bottom w:val="none" w:sz="0" w:space="0" w:color="auto"/>
        <w:right w:val="none" w:sz="0" w:space="0" w:color="auto"/>
      </w:divBdr>
    </w:div>
    <w:div w:id="762260252">
      <w:bodyDiv w:val="1"/>
      <w:marLeft w:val="0"/>
      <w:marRight w:val="0"/>
      <w:marTop w:val="0"/>
      <w:marBottom w:val="0"/>
      <w:divBdr>
        <w:top w:val="none" w:sz="0" w:space="0" w:color="auto"/>
        <w:left w:val="none" w:sz="0" w:space="0" w:color="auto"/>
        <w:bottom w:val="none" w:sz="0" w:space="0" w:color="auto"/>
        <w:right w:val="none" w:sz="0" w:space="0" w:color="auto"/>
      </w:divBdr>
    </w:div>
    <w:div w:id="801652845">
      <w:bodyDiv w:val="1"/>
      <w:marLeft w:val="0"/>
      <w:marRight w:val="0"/>
      <w:marTop w:val="0"/>
      <w:marBottom w:val="0"/>
      <w:divBdr>
        <w:top w:val="none" w:sz="0" w:space="0" w:color="auto"/>
        <w:left w:val="none" w:sz="0" w:space="0" w:color="auto"/>
        <w:bottom w:val="none" w:sz="0" w:space="0" w:color="auto"/>
        <w:right w:val="none" w:sz="0" w:space="0" w:color="auto"/>
      </w:divBdr>
      <w:divsChild>
        <w:div w:id="841817908">
          <w:marLeft w:val="0"/>
          <w:marRight w:val="0"/>
          <w:marTop w:val="0"/>
          <w:marBottom w:val="0"/>
          <w:divBdr>
            <w:top w:val="none" w:sz="0" w:space="0" w:color="auto"/>
            <w:left w:val="none" w:sz="0" w:space="0" w:color="auto"/>
            <w:bottom w:val="none" w:sz="0" w:space="0" w:color="auto"/>
            <w:right w:val="none" w:sz="0" w:space="0" w:color="auto"/>
          </w:divBdr>
          <w:divsChild>
            <w:div w:id="398211114">
              <w:marLeft w:val="0"/>
              <w:marRight w:val="0"/>
              <w:marTop w:val="0"/>
              <w:marBottom w:val="0"/>
              <w:divBdr>
                <w:top w:val="none" w:sz="0" w:space="0" w:color="auto"/>
                <w:left w:val="none" w:sz="0" w:space="0" w:color="auto"/>
                <w:bottom w:val="none" w:sz="0" w:space="0" w:color="auto"/>
                <w:right w:val="none" w:sz="0" w:space="0" w:color="auto"/>
              </w:divBdr>
              <w:divsChild>
                <w:div w:id="1832482168">
                  <w:marLeft w:val="0"/>
                  <w:marRight w:val="0"/>
                  <w:marTop w:val="0"/>
                  <w:marBottom w:val="0"/>
                  <w:divBdr>
                    <w:top w:val="none" w:sz="0" w:space="0" w:color="auto"/>
                    <w:left w:val="none" w:sz="0" w:space="0" w:color="auto"/>
                    <w:bottom w:val="none" w:sz="0" w:space="0" w:color="auto"/>
                    <w:right w:val="none" w:sz="0" w:space="0" w:color="auto"/>
                  </w:divBdr>
                  <w:divsChild>
                    <w:div w:id="587884494">
                      <w:marLeft w:val="0"/>
                      <w:marRight w:val="0"/>
                      <w:marTop w:val="0"/>
                      <w:marBottom w:val="1095"/>
                      <w:divBdr>
                        <w:top w:val="none" w:sz="0" w:space="0" w:color="auto"/>
                        <w:left w:val="none" w:sz="0" w:space="0" w:color="auto"/>
                        <w:bottom w:val="none" w:sz="0" w:space="0" w:color="auto"/>
                        <w:right w:val="none" w:sz="0" w:space="0" w:color="auto"/>
                      </w:divBdr>
                      <w:divsChild>
                        <w:div w:id="92329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408367">
      <w:bodyDiv w:val="1"/>
      <w:marLeft w:val="0"/>
      <w:marRight w:val="0"/>
      <w:marTop w:val="0"/>
      <w:marBottom w:val="0"/>
      <w:divBdr>
        <w:top w:val="none" w:sz="0" w:space="0" w:color="auto"/>
        <w:left w:val="none" w:sz="0" w:space="0" w:color="auto"/>
        <w:bottom w:val="none" w:sz="0" w:space="0" w:color="auto"/>
        <w:right w:val="none" w:sz="0" w:space="0" w:color="auto"/>
      </w:divBdr>
    </w:div>
    <w:div w:id="995378563">
      <w:bodyDiv w:val="1"/>
      <w:marLeft w:val="0"/>
      <w:marRight w:val="0"/>
      <w:marTop w:val="0"/>
      <w:marBottom w:val="0"/>
      <w:divBdr>
        <w:top w:val="none" w:sz="0" w:space="0" w:color="auto"/>
        <w:left w:val="none" w:sz="0" w:space="0" w:color="auto"/>
        <w:bottom w:val="none" w:sz="0" w:space="0" w:color="auto"/>
        <w:right w:val="none" w:sz="0" w:space="0" w:color="auto"/>
      </w:divBdr>
    </w:div>
    <w:div w:id="1317877939">
      <w:bodyDiv w:val="1"/>
      <w:marLeft w:val="0"/>
      <w:marRight w:val="0"/>
      <w:marTop w:val="0"/>
      <w:marBottom w:val="0"/>
      <w:divBdr>
        <w:top w:val="none" w:sz="0" w:space="0" w:color="auto"/>
        <w:left w:val="none" w:sz="0" w:space="0" w:color="auto"/>
        <w:bottom w:val="none" w:sz="0" w:space="0" w:color="auto"/>
        <w:right w:val="none" w:sz="0" w:space="0" w:color="auto"/>
      </w:divBdr>
    </w:div>
    <w:div w:id="1327125111">
      <w:bodyDiv w:val="1"/>
      <w:marLeft w:val="0"/>
      <w:marRight w:val="0"/>
      <w:marTop w:val="0"/>
      <w:marBottom w:val="0"/>
      <w:divBdr>
        <w:top w:val="none" w:sz="0" w:space="0" w:color="auto"/>
        <w:left w:val="none" w:sz="0" w:space="0" w:color="auto"/>
        <w:bottom w:val="none" w:sz="0" w:space="0" w:color="auto"/>
        <w:right w:val="none" w:sz="0" w:space="0" w:color="auto"/>
      </w:divBdr>
    </w:div>
    <w:div w:id="1379743684">
      <w:bodyDiv w:val="1"/>
      <w:marLeft w:val="0"/>
      <w:marRight w:val="0"/>
      <w:marTop w:val="0"/>
      <w:marBottom w:val="0"/>
      <w:divBdr>
        <w:top w:val="none" w:sz="0" w:space="0" w:color="auto"/>
        <w:left w:val="none" w:sz="0" w:space="0" w:color="auto"/>
        <w:bottom w:val="none" w:sz="0" w:space="0" w:color="auto"/>
        <w:right w:val="none" w:sz="0" w:space="0" w:color="auto"/>
      </w:divBdr>
    </w:div>
    <w:div w:id="1439914676">
      <w:bodyDiv w:val="1"/>
      <w:marLeft w:val="0"/>
      <w:marRight w:val="0"/>
      <w:marTop w:val="0"/>
      <w:marBottom w:val="0"/>
      <w:divBdr>
        <w:top w:val="none" w:sz="0" w:space="0" w:color="auto"/>
        <w:left w:val="none" w:sz="0" w:space="0" w:color="auto"/>
        <w:bottom w:val="none" w:sz="0" w:space="0" w:color="auto"/>
        <w:right w:val="none" w:sz="0" w:space="0" w:color="auto"/>
      </w:divBdr>
    </w:div>
    <w:div w:id="1670599060">
      <w:bodyDiv w:val="1"/>
      <w:marLeft w:val="0"/>
      <w:marRight w:val="0"/>
      <w:marTop w:val="0"/>
      <w:marBottom w:val="0"/>
      <w:divBdr>
        <w:top w:val="none" w:sz="0" w:space="0" w:color="auto"/>
        <w:left w:val="none" w:sz="0" w:space="0" w:color="auto"/>
        <w:bottom w:val="none" w:sz="0" w:space="0" w:color="auto"/>
        <w:right w:val="none" w:sz="0" w:space="0" w:color="auto"/>
      </w:divBdr>
    </w:div>
    <w:div w:id="1794058218">
      <w:bodyDiv w:val="1"/>
      <w:marLeft w:val="0"/>
      <w:marRight w:val="0"/>
      <w:marTop w:val="0"/>
      <w:marBottom w:val="0"/>
      <w:divBdr>
        <w:top w:val="none" w:sz="0" w:space="0" w:color="auto"/>
        <w:left w:val="none" w:sz="0" w:space="0" w:color="auto"/>
        <w:bottom w:val="none" w:sz="0" w:space="0" w:color="auto"/>
        <w:right w:val="none" w:sz="0" w:space="0" w:color="auto"/>
      </w:divBdr>
    </w:div>
    <w:div w:id="1938828446">
      <w:bodyDiv w:val="1"/>
      <w:marLeft w:val="0"/>
      <w:marRight w:val="0"/>
      <w:marTop w:val="0"/>
      <w:marBottom w:val="0"/>
      <w:divBdr>
        <w:top w:val="none" w:sz="0" w:space="0" w:color="auto"/>
        <w:left w:val="none" w:sz="0" w:space="0" w:color="auto"/>
        <w:bottom w:val="none" w:sz="0" w:space="0" w:color="auto"/>
        <w:right w:val="none" w:sz="0" w:space="0" w:color="auto"/>
      </w:divBdr>
    </w:div>
    <w:div w:id="213748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ff.cit.edu.au/policies/policies_search?queries_policykeywords_query=student+complaint" TargetMode="External"/><Relationship Id="rId13" Type="http://schemas.openxmlformats.org/officeDocument/2006/relationships/hyperlink" Target="https://staff.cit.edu.au/resources/ea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rc.act.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man.rights@act.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ombudsman.act.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mbudsman@ombudsman.gov.au"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87223-1F78-4716-9E46-DAB89B44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11</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Canberra Institute</vt:lpstr>
    </vt:vector>
  </TitlesOfParts>
  <Company>CIT</Company>
  <LinksUpToDate>false</LinksUpToDate>
  <CharactersWithSpaces>20521</CharactersWithSpaces>
  <SharedDoc>false</SharedDoc>
  <HLinks>
    <vt:vector size="48" baseType="variant">
      <vt:variant>
        <vt:i4>120</vt:i4>
      </vt:variant>
      <vt:variant>
        <vt:i4>21</vt:i4>
      </vt:variant>
      <vt:variant>
        <vt:i4>0</vt:i4>
      </vt:variant>
      <vt:variant>
        <vt:i4>5</vt:i4>
      </vt:variant>
      <vt:variant>
        <vt:lpwstr>https://staff.cit.edu.au/resources/teaching_learning/resources</vt:lpwstr>
      </vt:variant>
      <vt:variant>
        <vt:lpwstr/>
      </vt:variant>
      <vt:variant>
        <vt:i4>6881321</vt:i4>
      </vt:variant>
      <vt:variant>
        <vt:i4>18</vt:i4>
      </vt:variant>
      <vt:variant>
        <vt:i4>0</vt:i4>
      </vt:variant>
      <vt:variant>
        <vt:i4>5</vt:i4>
      </vt:variant>
      <vt:variant>
        <vt:lpwstr>http://staff.cit.act.edu.au/policies/education</vt:lpwstr>
      </vt:variant>
      <vt:variant>
        <vt:lpwstr/>
      </vt:variant>
      <vt:variant>
        <vt:i4>5636176</vt:i4>
      </vt:variant>
      <vt:variant>
        <vt:i4>15</vt:i4>
      </vt:variant>
      <vt:variant>
        <vt:i4>0</vt:i4>
      </vt:variant>
      <vt:variant>
        <vt:i4>5</vt:i4>
      </vt:variant>
      <vt:variant>
        <vt:lpwstr>https://staff.cit.edu.au/forms/teaching_and_learning/</vt:lpwstr>
      </vt:variant>
      <vt:variant>
        <vt:lpwstr/>
      </vt:variant>
      <vt:variant>
        <vt:i4>4259909</vt:i4>
      </vt:variant>
      <vt:variant>
        <vt:i4>12</vt:i4>
      </vt:variant>
      <vt:variant>
        <vt:i4>0</vt:i4>
      </vt:variant>
      <vt:variant>
        <vt:i4>5</vt:i4>
      </vt:variant>
      <vt:variant>
        <vt:lpwstr>http://www.training.com.au/documents/Dezem_100610 User guide for continuing registration_280610_1555 _ FINAL FOR WEBSITE 29 JUNE.pdf</vt:lpwstr>
      </vt:variant>
      <vt:variant>
        <vt:lpwstr/>
      </vt:variant>
      <vt:variant>
        <vt:i4>5963825</vt:i4>
      </vt:variant>
      <vt:variant>
        <vt:i4>9</vt:i4>
      </vt:variant>
      <vt:variant>
        <vt:i4>0</vt:i4>
      </vt:variant>
      <vt:variant>
        <vt:i4>5</vt:i4>
      </vt:variant>
      <vt:variant>
        <vt:lpwstr>http://www.training.com.au/documents/Dezem_AQTF Essential Conditions and Standards for Continuing Registration_8 June_3.pdf</vt:lpwstr>
      </vt:variant>
      <vt:variant>
        <vt:lpwstr/>
      </vt:variant>
      <vt:variant>
        <vt:i4>3670139</vt:i4>
      </vt:variant>
      <vt:variant>
        <vt:i4>6</vt:i4>
      </vt:variant>
      <vt:variant>
        <vt:i4>0</vt:i4>
      </vt:variant>
      <vt:variant>
        <vt:i4>5</vt:i4>
      </vt:variant>
      <vt:variant>
        <vt:lpwstr>http://www.legislation.act.gov.au/a/1987-71/current/pdf/1987-71.pdf</vt:lpwstr>
      </vt:variant>
      <vt:variant>
        <vt:lpwstr/>
      </vt:variant>
      <vt:variant>
        <vt:i4>5963825</vt:i4>
      </vt:variant>
      <vt:variant>
        <vt:i4>3</vt:i4>
      </vt:variant>
      <vt:variant>
        <vt:i4>0</vt:i4>
      </vt:variant>
      <vt:variant>
        <vt:i4>5</vt:i4>
      </vt:variant>
      <vt:variant>
        <vt:lpwstr>http://www.training.com.au/documents/Dezem_AQTF Essential Conditions and Standards for Continuing Registration_8 June_3.pdf</vt:lpwstr>
      </vt:variant>
      <vt:variant>
        <vt:lpwstr/>
      </vt:variant>
      <vt:variant>
        <vt:i4>196608</vt:i4>
      </vt:variant>
      <vt:variant>
        <vt:i4>0</vt:i4>
      </vt:variant>
      <vt:variant>
        <vt:i4>0</vt:i4>
      </vt:variant>
      <vt:variant>
        <vt:i4>5</vt:i4>
      </vt:variant>
      <vt:variant>
        <vt:lpwstr>http://staff.cit.act.edu.au/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Canberra Institute</dc:title>
  <dc:creator>Fox, Walsa</dc:creator>
  <cp:lastModifiedBy>Pirani, Yuka</cp:lastModifiedBy>
  <cp:revision>6</cp:revision>
  <cp:lastPrinted>2018-08-31T05:00:00Z</cp:lastPrinted>
  <dcterms:created xsi:type="dcterms:W3CDTF">2018-12-05T00:17:00Z</dcterms:created>
  <dcterms:modified xsi:type="dcterms:W3CDTF">2019-02-03T22:53:00Z</dcterms:modified>
</cp:coreProperties>
</file>